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F859" w14:textId="77777777" w:rsidR="00BE0195" w:rsidRDefault="00BE0195" w:rsidP="00C33DEF">
      <w:pPr>
        <w:rPr>
          <w:b/>
          <w:caps/>
          <w:color w:val="800000"/>
          <w:sz w:val="23"/>
          <w:szCs w:val="23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2365E0F" wp14:editId="1AC32883">
            <wp:simplePos x="0" y="0"/>
            <wp:positionH relativeFrom="column">
              <wp:posOffset>33020</wp:posOffset>
            </wp:positionH>
            <wp:positionV relativeFrom="paragraph">
              <wp:posOffset>-66675</wp:posOffset>
            </wp:positionV>
            <wp:extent cx="1800225" cy="904875"/>
            <wp:effectExtent l="0" t="0" r="9525" b="9525"/>
            <wp:wrapSquare wrapText="bothSides"/>
            <wp:docPr id="2" name="Obrázek 2" descr="logo_zcu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cu kop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witzerlandCondLight CE" w:hAnsi="SwitzerlandCondLight CE"/>
        </w:rPr>
        <w:br w:type="textWrapping" w:clear="all"/>
      </w:r>
    </w:p>
    <w:p w14:paraId="72615E6D" w14:textId="77777777" w:rsidR="00BE0195" w:rsidRDefault="00BE0195" w:rsidP="00CF7934">
      <w:pPr>
        <w:jc w:val="center"/>
        <w:rPr>
          <w:rFonts w:asciiTheme="majorHAnsi" w:hAnsiTheme="majorHAnsi"/>
          <w:b/>
          <w:caps/>
          <w:color w:val="800000"/>
          <w:sz w:val="23"/>
          <w:szCs w:val="23"/>
        </w:rPr>
      </w:pPr>
    </w:p>
    <w:p w14:paraId="1C706254" w14:textId="77777777" w:rsidR="00BC2CC9" w:rsidRPr="00BE0195" w:rsidRDefault="00C150ED" w:rsidP="00CF7934">
      <w:pPr>
        <w:jc w:val="center"/>
        <w:rPr>
          <w:rFonts w:asciiTheme="majorHAnsi" w:hAnsiTheme="majorHAnsi"/>
          <w:b/>
          <w:caps/>
          <w:color w:val="1F497D" w:themeColor="text2"/>
          <w:sz w:val="23"/>
          <w:szCs w:val="23"/>
        </w:rPr>
      </w:pPr>
      <w:r w:rsidRPr="00BE0195">
        <w:rPr>
          <w:rFonts w:asciiTheme="majorHAnsi" w:hAnsiTheme="majorHAnsi"/>
          <w:b/>
          <w:caps/>
          <w:color w:val="1F497D" w:themeColor="text2"/>
          <w:sz w:val="23"/>
          <w:szCs w:val="23"/>
        </w:rPr>
        <w:t xml:space="preserve">Kvalifikační podmínky </w:t>
      </w:r>
      <w:r w:rsidR="00731F6F" w:rsidRPr="00BE0195">
        <w:rPr>
          <w:rFonts w:asciiTheme="majorHAnsi" w:hAnsiTheme="majorHAnsi"/>
          <w:b/>
          <w:caps/>
          <w:color w:val="1F497D" w:themeColor="text2"/>
          <w:sz w:val="23"/>
          <w:szCs w:val="23"/>
        </w:rPr>
        <w:t>programu Erasmus +</w:t>
      </w:r>
    </w:p>
    <w:p w14:paraId="1E78E531" w14:textId="77777777" w:rsidR="00B97825" w:rsidRPr="00BE0195" w:rsidRDefault="00C150ED" w:rsidP="00CF7934">
      <w:pPr>
        <w:jc w:val="center"/>
        <w:rPr>
          <w:rFonts w:asciiTheme="majorHAnsi" w:hAnsiTheme="majorHAnsi"/>
          <w:b/>
          <w:caps/>
          <w:color w:val="1F497D" w:themeColor="text2"/>
          <w:sz w:val="23"/>
          <w:szCs w:val="23"/>
        </w:rPr>
      </w:pPr>
      <w:r w:rsidRPr="00BE0195">
        <w:rPr>
          <w:rFonts w:asciiTheme="majorHAnsi" w:hAnsiTheme="majorHAnsi"/>
          <w:b/>
          <w:caps/>
          <w:color w:val="1F497D" w:themeColor="text2"/>
          <w:sz w:val="23"/>
          <w:szCs w:val="23"/>
        </w:rPr>
        <w:t>pro studijní pobyty</w:t>
      </w:r>
      <w:r w:rsidR="00812164" w:rsidRPr="00BE0195">
        <w:rPr>
          <w:rFonts w:asciiTheme="majorHAnsi" w:hAnsiTheme="majorHAnsi"/>
          <w:b/>
          <w:caps/>
          <w:color w:val="1F497D" w:themeColor="text2"/>
          <w:sz w:val="23"/>
          <w:szCs w:val="23"/>
        </w:rPr>
        <w:t xml:space="preserve"> a praktické stáže </w:t>
      </w:r>
    </w:p>
    <w:p w14:paraId="1EFD56E1" w14:textId="77777777" w:rsidR="00C150ED" w:rsidRPr="00BE0195" w:rsidRDefault="00812164" w:rsidP="00CF7934">
      <w:pPr>
        <w:jc w:val="center"/>
        <w:rPr>
          <w:rFonts w:asciiTheme="majorHAnsi" w:hAnsiTheme="majorHAnsi"/>
          <w:b/>
          <w:caps/>
          <w:color w:val="1F497D" w:themeColor="text2"/>
          <w:sz w:val="23"/>
          <w:szCs w:val="23"/>
        </w:rPr>
      </w:pPr>
      <w:r w:rsidRPr="00BE0195">
        <w:rPr>
          <w:rFonts w:asciiTheme="majorHAnsi" w:hAnsiTheme="majorHAnsi"/>
          <w:b/>
          <w:caps/>
          <w:color w:val="1F497D" w:themeColor="text2"/>
          <w:sz w:val="23"/>
          <w:szCs w:val="23"/>
        </w:rPr>
        <w:t xml:space="preserve">studentů </w:t>
      </w:r>
      <w:r w:rsidR="00100ED1" w:rsidRPr="00BE0195">
        <w:rPr>
          <w:rFonts w:asciiTheme="majorHAnsi" w:hAnsiTheme="majorHAnsi"/>
          <w:b/>
          <w:caps/>
          <w:color w:val="1F497D" w:themeColor="text2"/>
          <w:sz w:val="23"/>
          <w:szCs w:val="23"/>
        </w:rPr>
        <w:t>Západočeské univerzity v Plzni</w:t>
      </w:r>
    </w:p>
    <w:p w14:paraId="77FAB38D" w14:textId="77777777" w:rsidR="00C150ED" w:rsidRPr="000D79A8" w:rsidRDefault="00C150ED" w:rsidP="00CF7934">
      <w:pPr>
        <w:jc w:val="both"/>
        <w:rPr>
          <w:rFonts w:ascii="Times New Roman" w:hAnsi="Times New Roman"/>
        </w:rPr>
      </w:pPr>
    </w:p>
    <w:p w14:paraId="67C722CE" w14:textId="1E7EBEA2" w:rsidR="000B7746" w:rsidRPr="000B7B65" w:rsidRDefault="00812164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Kvalifikační podmínky pro </w:t>
      </w:r>
      <w:r w:rsidR="00EC20D9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studijní pobyty a praktické stáže </w:t>
      </w:r>
      <w:r w:rsidR="00100ED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studentů ZČU</w:t>
      </w:r>
      <w:r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 rámc</w:t>
      </w:r>
      <w:r w:rsidR="00CB189E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i programu Erasmus+ </w:t>
      </w:r>
      <w:r w:rsidR="00EC20D9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(dále jen zahraniční pobyty) </w:t>
      </w:r>
      <w:r w:rsidR="00731F6F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jsou stanoveny na programové období let 20</w:t>
      </w:r>
      <w:r w:rsidR="003651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21</w:t>
      </w:r>
      <w:r w:rsidR="00731F6F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-202</w:t>
      </w:r>
      <w:r w:rsidR="003651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8</w:t>
      </w:r>
      <w:r w:rsidR="00731F6F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 </w:t>
      </w:r>
      <w:r w:rsidR="00CB189E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vyplývají z</w:t>
      </w:r>
      <w:r w:rsidR="000B7746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:</w:t>
      </w:r>
    </w:p>
    <w:p w14:paraId="5D8F18F8" w14:textId="77777777" w:rsidR="000B7746" w:rsidRPr="00DD0AF4" w:rsidRDefault="00812164" w:rsidP="00B97825">
      <w:pPr>
        <w:pStyle w:val="Odstavecseseznamem"/>
        <w:numPr>
          <w:ilvl w:val="0"/>
          <w:numId w:val="35"/>
        </w:numPr>
        <w:ind w:left="426" w:hanging="142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pravidel 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 závazků 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Grantové smlouvy, uzavřené </w:t>
      </w:r>
      <w:r w:rsidR="00EC20D9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pro aktuální </w:t>
      </w:r>
      <w:r w:rsidR="00B9782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akademický</w:t>
      </w:r>
      <w:r w:rsidR="00EC20D9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rok 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mezi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 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národní agenturou prog</w:t>
      </w:r>
      <w:r w:rsidR="003C552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ramu Erasmus+ (Dům zahraniční spolupráce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); </w:t>
      </w:r>
    </w:p>
    <w:p w14:paraId="55BDBDA8" w14:textId="4493AD22" w:rsidR="000B7746" w:rsidRPr="00DD0AF4" w:rsidRDefault="00812164" w:rsidP="00B97825">
      <w:pPr>
        <w:pStyle w:val="Odstavecseseznamem"/>
        <w:numPr>
          <w:ilvl w:val="0"/>
          <w:numId w:val="35"/>
        </w:numPr>
        <w:ind w:left="426" w:hanging="142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pravidel pro individ</w:t>
      </w:r>
      <w:r w:rsidR="00CF79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uální mobility programu Erasmus</w:t>
      </w:r>
      <w:r w:rsidR="00B9782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+ (Klíčová aktivita 1 – KA1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) dle aktuální verze metodické příručky (tzv. </w:t>
      </w:r>
      <w:hyperlink r:id="rId9" w:history="1">
        <w:r w:rsidRPr="00D35C73">
          <w:rPr>
            <w:rStyle w:val="Hypertextovodkaz"/>
            <w:rFonts w:asciiTheme="majorHAnsi" w:eastAsia="Times New Roman" w:hAnsiTheme="majorHAnsi" w:cs="Helvetica"/>
            <w:sz w:val="23"/>
            <w:szCs w:val="23"/>
            <w:lang w:eastAsia="cs-CZ"/>
          </w:rPr>
          <w:t>Erasmus+ Programme Guide</w:t>
        </w:r>
      </w:hyperlink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), která tvoří nedílnou součást výzvy 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Evropské komise 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 předkládání návrhů v rámci programu</w:t>
      </w:r>
      <w:r w:rsidR="000B7746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Erasmus+ </w:t>
      </w: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 aktuálním roce, doplněné elektronickou aplikací tzv. </w:t>
      </w:r>
      <w:r w:rsidR="003651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Beneficiary Module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pro evidenci </w:t>
      </w:r>
      <w:r w:rsidR="00EC20D9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 výpočet délky pobytu 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individuálních mobili</w:t>
      </w:r>
      <w:r w:rsidR="00EC20D9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</w:p>
    <w:p w14:paraId="06311204" w14:textId="687AE04F" w:rsidR="00C150ED" w:rsidRPr="00DD0AF4" w:rsidRDefault="00EC20D9" w:rsidP="00B97825">
      <w:pPr>
        <w:pStyle w:val="Odstavecseseznamem"/>
        <w:numPr>
          <w:ilvl w:val="0"/>
          <w:numId w:val="35"/>
        </w:numPr>
        <w:ind w:left="426" w:hanging="142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aktuálního znění </w:t>
      </w:r>
      <w:r w:rsidR="003651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Strategického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záměru</w:t>
      </w:r>
      <w:r w:rsidR="00812164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100ED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CB189E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</w:p>
    <w:p w14:paraId="238CD3EF" w14:textId="77777777" w:rsidR="00960C4D" w:rsidRPr="00BC2CC9" w:rsidRDefault="00960C4D" w:rsidP="00CF7934">
      <w:pPr>
        <w:jc w:val="both"/>
        <w:rPr>
          <w:rFonts w:asciiTheme="majorHAnsi" w:hAnsiTheme="majorHAnsi"/>
          <w:sz w:val="23"/>
          <w:szCs w:val="23"/>
        </w:rPr>
      </w:pPr>
    </w:p>
    <w:p w14:paraId="6CAB3F4E" w14:textId="77777777" w:rsidR="00EC20D9" w:rsidRPr="00B97825" w:rsidRDefault="000B7B65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Oprávněná osoba</w:t>
      </w:r>
    </w:p>
    <w:p w14:paraId="00A8781E" w14:textId="77777777" w:rsidR="00EC20D9" w:rsidRPr="00BC2CC9" w:rsidRDefault="00EC20D9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Zahraničního pobytu se může účastnit každý student</w:t>
      </w:r>
      <w:r w:rsidR="00804C6B">
        <w:rPr>
          <w:rStyle w:val="Znakapoznpodarou"/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footnoteReference w:id="1"/>
      </w: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který je zapsán do akreditovaného bakalářského</w:t>
      </w:r>
      <w:r w:rsidR="00B9782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(Bc.)</w:t>
      </w: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magisterského </w:t>
      </w:r>
      <w:r w:rsidR="00B9782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(Mgr.) </w:t>
      </w: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nebo doktorského </w:t>
      </w:r>
      <w:r w:rsidR="00B9782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(Ph.D.) </w:t>
      </w: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studijního programu a bude po celé období zahraničního pobytu řádně zapsán ke studiu na </w:t>
      </w:r>
      <w:r w:rsidR="00100ED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</w:p>
    <w:p w14:paraId="5A14D636" w14:textId="3837D829" w:rsidR="00361388" w:rsidRPr="00BC2CC9" w:rsidRDefault="00361388" w:rsidP="00CF7934">
      <w:pPr>
        <w:pStyle w:val="Odstavecseseznamem"/>
        <w:numPr>
          <w:ilvl w:val="0"/>
          <w:numId w:val="23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Studijní pobyt může absolvovat každý student </w:t>
      </w:r>
      <w:r w:rsidR="00D35C73" w:rsidRPr="00BC2CC9">
        <w:rPr>
          <w:rFonts w:asciiTheme="majorHAnsi" w:hAnsiTheme="majorHAnsi"/>
          <w:color w:val="333333"/>
          <w:sz w:val="23"/>
          <w:szCs w:val="23"/>
        </w:rPr>
        <w:t>od 1. ročníku Bc</w:t>
      </w:r>
      <w:r w:rsidR="00D35C73">
        <w:rPr>
          <w:rFonts w:asciiTheme="majorHAnsi" w:hAnsiTheme="majorHAnsi"/>
          <w:color w:val="333333"/>
          <w:sz w:val="23"/>
          <w:szCs w:val="23"/>
        </w:rPr>
        <w:t>.</w:t>
      </w:r>
      <w:r w:rsidR="00D35C73" w:rsidRPr="00BC2CC9">
        <w:rPr>
          <w:rFonts w:asciiTheme="majorHAnsi" w:hAnsiTheme="majorHAnsi"/>
          <w:color w:val="333333"/>
          <w:sz w:val="23"/>
          <w:szCs w:val="23"/>
        </w:rPr>
        <w:t xml:space="preserve"> studia.</w:t>
      </w:r>
    </w:p>
    <w:p w14:paraId="6C6AC21D" w14:textId="7D21C633" w:rsidR="00361388" w:rsidRPr="00894BAA" w:rsidRDefault="00361388" w:rsidP="00CF7934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sz w:val="23"/>
          <w:szCs w:val="23"/>
        </w:rPr>
      </w:pPr>
      <w:r w:rsidRPr="00BC2CC9">
        <w:rPr>
          <w:rFonts w:asciiTheme="majorHAnsi" w:hAnsiTheme="majorHAnsi"/>
          <w:color w:val="333333"/>
          <w:sz w:val="23"/>
          <w:szCs w:val="23"/>
        </w:rPr>
        <w:t>Praktickou stáž může absolvovat každý student od 1. ročníku Bc</w:t>
      </w:r>
      <w:r w:rsidR="00B97825">
        <w:rPr>
          <w:rFonts w:asciiTheme="majorHAnsi" w:hAnsiTheme="majorHAnsi"/>
          <w:color w:val="333333"/>
          <w:sz w:val="23"/>
          <w:szCs w:val="23"/>
        </w:rPr>
        <w:t>.</w:t>
      </w:r>
      <w:r w:rsidRPr="00BC2CC9">
        <w:rPr>
          <w:rFonts w:asciiTheme="majorHAnsi" w:hAnsiTheme="majorHAnsi"/>
          <w:color w:val="333333"/>
          <w:sz w:val="23"/>
          <w:szCs w:val="23"/>
        </w:rPr>
        <w:t xml:space="preserve"> studia.</w:t>
      </w:r>
    </w:p>
    <w:p w14:paraId="13BD8373" w14:textId="4E66FBBB" w:rsidR="003E3172" w:rsidRPr="00BC2CC9" w:rsidRDefault="003E3172" w:rsidP="00CF7934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color w:val="333333"/>
          <w:sz w:val="23"/>
          <w:szCs w:val="23"/>
        </w:rPr>
        <w:t xml:space="preserve">Praktickou stáž může realizovat i absolvent ZČU do 12 měsíců po řádném ukončení příslušného stupně studia na ZČU. Stáž musí být vysílající i přijímající institucí schválená ještě v době studia na ZČU.  </w:t>
      </w:r>
    </w:p>
    <w:p w14:paraId="56A5B870" w14:textId="77777777" w:rsidR="00EC20D9" w:rsidRPr="00BC2CC9" w:rsidRDefault="00EC20D9" w:rsidP="00CF7934">
      <w:pPr>
        <w:jc w:val="both"/>
        <w:rPr>
          <w:rFonts w:asciiTheme="majorHAnsi" w:hAnsiTheme="majorHAnsi"/>
          <w:sz w:val="23"/>
          <w:szCs w:val="23"/>
        </w:rPr>
      </w:pPr>
    </w:p>
    <w:p w14:paraId="2EA17BBA" w14:textId="77777777" w:rsidR="00EC20D9" w:rsidRPr="00B97825" w:rsidRDefault="00731F6F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Přijímající instituce</w:t>
      </w:r>
    </w:p>
    <w:p w14:paraId="04145CA6" w14:textId="6B6F198D" w:rsidR="00EC20D9" w:rsidRDefault="00731F6F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Zahraniční pobyt mohou studenti absolvovat na </w:t>
      </w:r>
      <w:r w:rsidR="003C552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oprávněné </w:t>
      </w: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přijímající instituci v každé zemi zapojené do programu Erasmus+ kromě České republiky. Přijímající institucí se rozumí 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partnerská instituce, s níž uzavřela </w:t>
      </w:r>
      <w:r w:rsidR="00100ED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d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ohodu o spolupráci formou tzv. </w:t>
      </w:r>
      <w:r w:rsidR="00A81D5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mezi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institucionální smlouvy programu Erasmus</w:t>
      </w:r>
      <w:r w:rsidR="007A3B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+ (</w:t>
      </w:r>
      <w:r w:rsidR="00A603D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podmínka neplatí </w:t>
      </w:r>
      <w:r w:rsidR="00894BA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pro praktické</w:t>
      </w:r>
      <w:r w:rsidR="00A603D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stáže). Praktické stáže mohou probíhat v jakékoli zahraniční organizaci s výjimkou orgánů EU a organizací spravujících programy EU. </w:t>
      </w:r>
    </w:p>
    <w:p w14:paraId="141BBC0A" w14:textId="77777777" w:rsidR="00D1134C" w:rsidRDefault="00D1134C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132D1D89" w14:textId="77777777" w:rsidR="00D1134C" w:rsidRPr="00BC2CC9" w:rsidRDefault="00D1134C" w:rsidP="00CF7934">
      <w:pPr>
        <w:jc w:val="both"/>
        <w:rPr>
          <w:rFonts w:asciiTheme="majorHAnsi" w:hAnsiTheme="majorHAnsi"/>
          <w:sz w:val="23"/>
          <w:szCs w:val="23"/>
        </w:rPr>
      </w:pPr>
    </w:p>
    <w:p w14:paraId="1C330A1F" w14:textId="77777777" w:rsidR="00EC20D9" w:rsidRPr="00BC2CC9" w:rsidRDefault="00EC20D9" w:rsidP="00CF7934">
      <w:pPr>
        <w:jc w:val="both"/>
        <w:rPr>
          <w:rFonts w:asciiTheme="majorHAnsi" w:hAnsiTheme="majorHAnsi"/>
          <w:sz w:val="23"/>
          <w:szCs w:val="23"/>
        </w:rPr>
      </w:pPr>
    </w:p>
    <w:p w14:paraId="6D181B7B" w14:textId="77777777" w:rsidR="00361388" w:rsidRPr="00B97825" w:rsidRDefault="00361388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lastRenderedPageBreak/>
        <w:t>Programové období a délka trvání pobytu</w:t>
      </w:r>
    </w:p>
    <w:p w14:paraId="04B17D77" w14:textId="48564398" w:rsidR="00894BAA" w:rsidRDefault="00894BAA" w:rsidP="00894BAA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Projektové období trvá vždy od 1.6. do 31.7. následujícího kalendářního roku, tj. 26 měsíců. Z</w:t>
      </w:r>
      <w:r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ahraniční pobyt může uskutečnit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</w:t>
      </w:r>
      <w:r w:rsidR="00CA1EFB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 rámci příslušného akademického roku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</w:p>
    <w:p w14:paraId="306C040C" w14:textId="77777777" w:rsidR="00894BAA" w:rsidRDefault="00894BAA" w:rsidP="00894BAA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37941BC8" w14:textId="11DDCA95" w:rsidR="00046CAC" w:rsidRPr="00894BAA" w:rsidRDefault="00046CAC" w:rsidP="00894BAA">
      <w:pPr>
        <w:pStyle w:val="Odstavecseseznamem"/>
        <w:numPr>
          <w:ilvl w:val="0"/>
          <w:numId w:val="40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894BA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Mobilita studentů za účelem studia: od 2 měsíců (nebo jednoho semestru či trimestru) do 12 měsíců</w:t>
      </w:r>
      <w:r w:rsidR="000F276E" w:rsidRPr="00894BA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dlouhodobé</w:t>
      </w:r>
      <w:r w:rsidRPr="00894BA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fyzické mobility. </w:t>
      </w:r>
      <w:r w:rsidR="00777D5B" w:rsidRPr="00894BA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1 měsíc = 30 dní.</w:t>
      </w:r>
    </w:p>
    <w:p w14:paraId="023B8874" w14:textId="71A14AD8" w:rsidR="00867DC3" w:rsidRPr="00867DC3" w:rsidRDefault="00046CAC" w:rsidP="00867DC3">
      <w:pPr>
        <w:pStyle w:val="Odstavecseseznamem"/>
        <w:numPr>
          <w:ilvl w:val="0"/>
          <w:numId w:val="24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046CAC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Mobilita studentů za účelem stáže: od 2 do 12 měsíců </w:t>
      </w:r>
      <w:r w:rsidR="000F276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dlouhodobé </w:t>
      </w:r>
      <w:r w:rsidRPr="00046CAC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fyzické mobility.</w:t>
      </w:r>
      <w:r w:rsidR="00777D5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     </w:t>
      </w:r>
      <w:r w:rsidR="00CA1EFB" w:rsidRP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777D5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1 měsíc = 30 dní. </w:t>
      </w:r>
      <w:r w:rsidR="00F51ADD" w:rsidRPr="00F51AD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Doba trvání stáže čerstvých absolventů se započítává do maximálních 12 měsíců za</w:t>
      </w:r>
      <w:r w:rsidR="00777D5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studijní</w:t>
      </w:r>
      <w:r w:rsidR="00F51ADD" w:rsidRPr="00F51AD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cyklus, v němž o stáž požádají.</w:t>
      </w:r>
    </w:p>
    <w:p w14:paraId="046D975C" w14:textId="15496561" w:rsidR="00867DC3" w:rsidRDefault="00867DC3" w:rsidP="0038316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867DC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Kombinovaná mobilita</w:t>
      </w:r>
      <w:r w:rsidR="00C33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:</w:t>
      </w:r>
      <w:r w:rsidRPr="00867DC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kombinac</w:t>
      </w:r>
      <w:r w:rsidR="00777D5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e</w:t>
      </w:r>
      <w:r w:rsidRPr="00867DC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fyzické mobility s virtuální složkou</w:t>
      </w:r>
      <w:r w:rsidR="000F276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</w:p>
    <w:p w14:paraId="643A97BB" w14:textId="437A0D0E" w:rsidR="000F276E" w:rsidRDefault="000F276E" w:rsidP="008B774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0F276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Kombinované intenzivní programy</w:t>
      </w:r>
      <w:r w:rsidR="00777D5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(BIP)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FB7B9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–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FB7B9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délka fyzické mobility 5 až 30 dnů a musí být kombinována s povinnou virtuální složkou. </w:t>
      </w:r>
      <w:r w:rsidR="0038316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Účast v kombinovaném intenzivním programu se řídí podle zvláštních kritérií způsobilosti programu ERASMUS+</w:t>
      </w:r>
      <w:r w:rsidR="00A12A6C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viz </w:t>
      </w:r>
      <w:hyperlink r:id="rId10" w:history="1">
        <w:r w:rsidR="00777D5B" w:rsidRPr="00D35C73">
          <w:rPr>
            <w:rStyle w:val="Hypertextovodkaz"/>
            <w:rFonts w:asciiTheme="majorHAnsi" w:eastAsia="Times New Roman" w:hAnsiTheme="majorHAnsi" w:cs="Helvetica"/>
            <w:sz w:val="23"/>
            <w:szCs w:val="23"/>
            <w:lang w:eastAsia="cs-CZ"/>
          </w:rPr>
          <w:t>Erasmus+ Programme Guide</w:t>
        </w:r>
      </w:hyperlink>
      <w:r w:rsidR="00A12A6C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</w:p>
    <w:p w14:paraId="3C53B8AA" w14:textId="135A895C" w:rsidR="00777D5B" w:rsidRDefault="00777D5B" w:rsidP="008B774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Mezinárodní mobilita: </w:t>
      </w:r>
      <w:r w:rsidR="008B774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mobilita do třetích zemí nepřidružených k programu. V rámci mezinárodní mobility mají účastníci nárok na pobytové a cestovní náklady</w:t>
      </w:r>
      <w:r w:rsidR="00440B5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(platí pro regiony </w:t>
      </w:r>
      <w:r w:rsidR="007A3B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1–12</w:t>
      </w:r>
      <w:r w:rsidR="00440B5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)</w:t>
      </w:r>
      <w:r w:rsidR="008B774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  <w:r w:rsidR="00440B5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Přehled pobytových a cestovních nákladů viz příloha Metodického pokynu.</w:t>
      </w:r>
    </w:p>
    <w:p w14:paraId="34ED6FF5" w14:textId="13ECD9A8" w:rsidR="00FB7B92" w:rsidRDefault="00FB7B92" w:rsidP="00FB7B92">
      <w:pPr>
        <w:pStyle w:val="Odstavecseseznamem"/>
        <w:autoSpaceDE w:val="0"/>
        <w:autoSpaceDN w:val="0"/>
        <w:adjustRightInd w:val="0"/>
        <w:spacing w:line="240" w:lineRule="auto"/>
        <w:ind w:left="720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0066B8BC" w14:textId="21E845D1" w:rsidR="00FB7B92" w:rsidRPr="00C33DEF" w:rsidRDefault="00C33DEF" w:rsidP="00C33DEF">
      <w:pP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C33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Místo konání aktivity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:</w:t>
      </w:r>
      <w:r w:rsidRPr="00C33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studenti musí fyzickou mobilitu absolvovat v členském státě nebo třetí zemi přidružené k programu nebo ve třetí zemi nepřidružené k</w:t>
      </w:r>
      <w:r w:rsidR="00777D5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 </w:t>
      </w:r>
      <w:r w:rsidRPr="00C33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programu, které nejsou ani zemí vysílající organizace, ani zemí jejich pobytu během studia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či zemí jejich trvalého </w:t>
      </w:r>
      <w:r w:rsidR="00487F6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pobytu</w:t>
      </w:r>
      <w:r w:rsidRPr="00C33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</w:p>
    <w:p w14:paraId="03C01C25" w14:textId="77777777" w:rsidR="00CA1EFB" w:rsidRDefault="00CA1EFB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40F0844A" w14:textId="77777777" w:rsidR="00361388" w:rsidRPr="00B97825" w:rsidRDefault="00361388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Opakování zahraničního pobytu</w:t>
      </w:r>
    </w:p>
    <w:p w14:paraId="660FD2F6" w14:textId="57174972" w:rsidR="00361388" w:rsidRPr="00BC2CC9" w:rsidRDefault="008E7836" w:rsidP="00CF7934">
      <w:pPr>
        <w:jc w:val="both"/>
        <w:rPr>
          <w:rFonts w:asciiTheme="majorHAnsi" w:hAnsiTheme="majorHAnsi"/>
          <w:sz w:val="23"/>
          <w:szCs w:val="23"/>
        </w:rPr>
      </w:pP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Zahraniční pobyt je možné opakovat 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</w:t>
      </w:r>
      <w:r w:rsidR="00CA1EFB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 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každé</w:t>
      </w:r>
      <w:r w:rsidR="00CA1EFB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 typu</w:t>
      </w:r>
      <w:r w:rsidR="00BC2CC9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vysokoškolského studia (Bc</w:t>
      </w:r>
      <w:r w:rsidR="00B9782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Mgr</w:t>
      </w:r>
      <w:r w:rsidR="00B9782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.,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Ph.D). Celkové penzum pro </w:t>
      </w:r>
      <w:r w:rsidR="00CA1EFB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každý typ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studia je 12 měsíců (resp. 24 měsíců u </w:t>
      </w:r>
      <w:r w:rsidR="00194CE7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5letých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Mgr. programů), přičemž těchto 12 (resp. 24) měsíců může tvořit studijní pobyt (</w:t>
      </w:r>
      <w:r w:rsidR="00194CE7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SMS – Student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Mobility for Studies), praktická stáž (</w:t>
      </w:r>
      <w:r w:rsidR="007F06A2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SMT – Student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Mobility for Traineeship) a/nebo kombinace těchto aktivit. </w:t>
      </w:r>
      <w:r w:rsidR="00D81A5C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Opakovaný zahraniční pobyt mohou </w:t>
      </w:r>
      <w:r w:rsidR="000C1F6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absolvovat 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i studenti, kteří </w:t>
      </w:r>
      <w:r w:rsidR="000C1F6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uskutečnili </w:t>
      </w:r>
      <w:r w:rsidR="00361388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studijní pobyt a/nebo praktickou stáž v rámci programu Erasmus.</w:t>
      </w:r>
      <w:r w:rsidR="00CA1EFB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Student však nesmí </w:t>
      </w:r>
      <w:r w:rsidR="00BC2CC9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opakovaně </w:t>
      </w:r>
      <w:r w:rsidR="00CA1EFB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absolvovat stejný typ zahraniční </w:t>
      </w:r>
      <w:r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aktivity</w:t>
      </w:r>
      <w:r w:rsidR="00CA1EFB" w:rsidRPr="00BC2CC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(SMS/SMT) v rámci jednoho akademického roku na stejné partnerské (přijímající) organizaci. </w:t>
      </w:r>
    </w:p>
    <w:p w14:paraId="081D1D88" w14:textId="77777777" w:rsidR="00361388" w:rsidRDefault="00361388" w:rsidP="00CF7934">
      <w:pPr>
        <w:jc w:val="both"/>
        <w:rPr>
          <w:rFonts w:asciiTheme="majorHAnsi" w:hAnsiTheme="majorHAnsi"/>
          <w:sz w:val="23"/>
          <w:szCs w:val="23"/>
        </w:rPr>
      </w:pPr>
    </w:p>
    <w:p w14:paraId="6002AF0A" w14:textId="77777777" w:rsidR="00A77CDF" w:rsidRPr="00B97825" w:rsidRDefault="00A77CDF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Výběrová řízení a nominace studentů</w:t>
      </w:r>
    </w:p>
    <w:p w14:paraId="5358A9FB" w14:textId="6305ECDD" w:rsidR="00487F6A" w:rsidRDefault="003554BA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Výběrová řízení studentů pro obsazení míst na nabízené zahraniční </w:t>
      </w:r>
      <w:r w:rsidR="00511A9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studijní 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pobyty</w:t>
      </w:r>
      <w:r w:rsidR="00E27CA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příp. jejich prodloužení,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jsou v kompetenci fakult</w:t>
      </w:r>
      <w:r w:rsidR="006122A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 </w:t>
      </w:r>
      <w:r w:rsidR="0012240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vycházejí ze strategií v oblasti mezinárodní spolupráce</w:t>
      </w:r>
      <w:r w:rsidR="00E94CFE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 Fakulta garantuje rovný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přístupu </w:t>
      </w:r>
      <w:r w:rsidR="00647C4E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studentů</w:t>
      </w:r>
      <w:r w:rsidR="000C1F6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</w:t>
      </w:r>
      <w:r w:rsidR="00647C4E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34459F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transparentní vyhlášení a průběh výběrových řízení. Výběrová řízení mohou mít jednokolový nebo dvoukolový charakter. V případě dvoukolových </w:t>
      </w:r>
      <w:r w:rsidR="00E94CFE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výběrových </w:t>
      </w:r>
      <w:r w:rsidR="0034459F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řízení je první kolo zpravidla organizováno na úrovni katedry, ústavu či institutu. Druhé kolo výběrového řízení probíhá na centrální (fakultní) úrovni.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Studenti se hlásí do výběrových řízení podle </w:t>
      </w:r>
      <w:r w:rsidR="0034459F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podmínek stanovených 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výběrov</w:t>
      </w:r>
      <w:r w:rsidR="0034459F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ou komisí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 w:rsidR="000C1F6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487F6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Výběrová řízení probíhají elektronicky na Portále ZČU.</w:t>
      </w:r>
    </w:p>
    <w:p w14:paraId="6201FB28" w14:textId="539DA387" w:rsidR="00A77CDF" w:rsidRDefault="003554BA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Studenti, kteří </w:t>
      </w:r>
      <w:r w:rsidR="00E94CFE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splní podmínky stanovené výběrovým řízením jsou nominováni na zahraniční pobyt 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programu Erasmus+. Nominace do programu Erasmus+ </w:t>
      </w:r>
      <w:r w:rsidR="00E94CFE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automaticky nezakládá 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nárok </w:t>
      </w:r>
      <w:r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lastRenderedPageBreak/>
        <w:t xml:space="preserve">studenta na přiznání </w:t>
      </w:r>
      <w:r w:rsidR="00E94CFE" w:rsidRPr="00D943B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stipendia programu Erasmus+ (viz Finanční podpora). </w:t>
      </w:r>
      <w:r w:rsidR="00CB4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Výběrová řízení na praktické stáže, krátkodobé zahraniční pobyty a kombinované zahraniční pobyty nemusí probíhat v jednotných termínech, ale mohou se uskutečnit i v průběhu akademického roku</w:t>
      </w:r>
      <w:r w:rsidR="00650B6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na základě aktuálních nabídek stáží a zájemců o ně</w:t>
      </w:r>
      <w:r w:rsidR="00CB4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 w:rsidR="00511A9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Vysílající fakulta</w:t>
      </w:r>
      <w:r w:rsidR="009F35C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(ECTS fakultní koordinátor)</w:t>
      </w:r>
      <w:r w:rsidR="00511A9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musí dát s výjezdem na stáž </w:t>
      </w:r>
      <w:r w:rsidR="00650B6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písemný </w:t>
      </w:r>
      <w:r w:rsidR="00511A9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souhlas, v případě absolventské stáže je nutné doložit p</w:t>
      </w:r>
      <w:r w:rsidR="00650B6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ot</w:t>
      </w:r>
      <w:r w:rsidR="00511A9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vrzení o řádném ukončení studia na ZČU. </w:t>
      </w:r>
    </w:p>
    <w:p w14:paraId="615DD737" w14:textId="2A10BA2B" w:rsidR="00487F6A" w:rsidRDefault="00487F6A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6E1C9F72" w14:textId="444DC29F" w:rsidR="005B62F6" w:rsidRPr="00B97825" w:rsidRDefault="005B62F6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On-line jazyková podpora</w:t>
      </w:r>
    </w:p>
    <w:p w14:paraId="5B1DC9B5" w14:textId="6895177A" w:rsidR="005B62F6" w:rsidRDefault="00DA4714" w:rsidP="00DA471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DA471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On-line jazyková podpora (OLS – Online Linguistic Support) je jedním z nástrojů programu Erasmus+ určeným ke zlepšení jazykových dovedností studentů – účastníků mobilit. Studenti, kteří potřebují doložit svou jazykovou znalost jazyka výuky na přijímající instituci, mohou využít možnost absolvovat on-line jazykový test a následně také on-line jazykový kurz. Tyto nástroje slouží k ověření a případnému zlepšení jazykových kompetencí před zahájením nebo v průběhu pobytu v zahraničí. Bezplatné licence na jazykové testy a on-line jazykové kurzy obdrží studenti prostřednictvím e-mailu z platformy OLS.</w:t>
      </w:r>
    </w:p>
    <w:p w14:paraId="20CFFC59" w14:textId="77777777" w:rsidR="00E27CA4" w:rsidRDefault="00E27CA4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6610A2C5" w14:textId="77777777" w:rsidR="008E7836" w:rsidRPr="00B97825" w:rsidRDefault="000B7B65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Oprávněné aktivity</w:t>
      </w:r>
    </w:p>
    <w:p w14:paraId="27414180" w14:textId="759CA0FA" w:rsidR="00054C24" w:rsidRDefault="00142096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Oprávněnými aktivitami se rozumí 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všechny formy výuky (přednášky, cvičení, semináře, prosemináře, kur</w:t>
      </w:r>
      <w:r w:rsidR="000951C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zy, praxe, stáže, laboratorní, 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terénní práce</w:t>
      </w:r>
      <w:r w:rsidR="000951C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 samostatná práce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konzultace, exkurze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aj.)</w:t>
      </w:r>
      <w:r w:rsidR="000951C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tj. předměty </w:t>
      </w:r>
      <w:r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pregraduální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ho </w:t>
      </w:r>
      <w:r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nebo postgraduální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ho studia</w:t>
      </w:r>
      <w:r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vedoucí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ho</w:t>
      </w:r>
      <w:r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dle studijního plánu </w:t>
      </w:r>
      <w:r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 získání uznávaného diplom</w:t>
      </w:r>
      <w:r w:rsidR="00536BA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u nebo kvalifikace na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Studijní plán </w:t>
      </w:r>
      <w:r w:rsidR="004C2E1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nebo plán praxe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 zahraničí</w:t>
      </w:r>
      <w:r w:rsidR="00A77CDF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lze realizovat pou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ze na základě S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tudijní smlouvy (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tzv. </w:t>
      </w:r>
      <w:r w:rsidR="00AE5F0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Learning A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greement</w:t>
      </w:r>
      <w:r w:rsidR="009F35C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for Studies</w:t>
      </w:r>
      <w:r w:rsidR="00207D6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/</w:t>
      </w:r>
      <w:r w:rsidR="009F35C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Learning Agreement for Traineeship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)</w:t>
      </w:r>
      <w:r w:rsidR="00A77CDF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Studijní smlouva obsahuje názvy předmětů</w:t>
      </w:r>
      <w:r w:rsidR="00650B6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(v případě stáží </w:t>
      </w:r>
      <w:r w:rsidR="009F35C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obsahuje</w:t>
      </w:r>
      <w:r w:rsidR="00650B6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podrobný program stáže)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které chce student</w:t>
      </w:r>
      <w:r w:rsidR="00AD1C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(účastník zahraničního pobytu)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na přijímající instituci studovat</w:t>
      </w:r>
      <w:r w:rsidR="009F35C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/realizovat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včetně jejich kreditového ohodnocení</w:t>
      </w:r>
      <w:r w:rsidR="00AD1C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 způsobu uznání na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Studijní smlouva je schválena </w:t>
      </w:r>
      <w:r w:rsidR="004C2E1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i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/ studentem, ii/ za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0951C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3651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pro</w:t>
      </w:r>
      <w:r w:rsidR="000951C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děkanem fakulty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na které je student zapsán</w:t>
      </w:r>
      <w:r w:rsidR="009F35C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(u stáží univerzitní koordinátorkou</w:t>
      </w:r>
      <w:r w:rsidR="001B0BE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),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 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iii/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přijímající institucí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– osobou, která je oprávněna posoudit </w:t>
      </w:r>
      <w:r w:rsidR="00C61AA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možnost 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uskutečnění studijního plánu.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Tato smlouva je závazná pro všechny tři strany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Studijní smlouva musí být uzavřena před odjezdem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studenta 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na zahraniční pobyt.</w:t>
      </w:r>
      <w:r w:rsidR="00C61AA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F725E2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Studijní smlouv</w:t>
      </w:r>
      <w:r w:rsidR="00D25BDE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u</w:t>
      </w:r>
      <w:r w:rsidR="00F725E2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podepisují všechny zúčastněné strany elektronicky</w:t>
      </w:r>
      <w:r w:rsid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na Portále</w:t>
      </w:r>
      <w:r w:rsidR="00F725E2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přes EWP</w:t>
      </w:r>
      <w:r w:rsid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</w:t>
      </w:r>
      <w:r w:rsidR="006D5534" w:rsidRP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Studijní smlouva k</w:t>
      </w:r>
      <w:r w:rsid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praktické</w:t>
      </w:r>
      <w:r w:rsidR="006D5534" w:rsidRP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stáži se podepisuje osobně, ne přes Portál</w:t>
      </w:r>
      <w:r w:rsid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)</w:t>
      </w:r>
      <w:r w:rsidR="00F725E2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  <w:r w:rsidR="00185BB4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Studijní smlouva může být po dohodě smluvních stran v průběhu zahraničního pobytu změněna. Všechny změn</w:t>
      </w:r>
      <w:r w:rsidR="000B7B65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y S</w:t>
      </w:r>
      <w:r w:rsidR="007920A7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tudijní smlouvy</w:t>
      </w:r>
      <w:r w:rsidR="000B7B65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185BB4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mus</w:t>
      </w:r>
      <w:r w:rsidR="00F725E2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í</w:t>
      </w:r>
      <w:r w:rsidR="00185BB4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být</w:t>
      </w:r>
      <w:r w:rsidR="00F725E2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odsouhlaseny</w:t>
      </w:r>
      <w:r w:rsidR="00185BB4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 podepsány</w:t>
      </w:r>
      <w:r w:rsidR="00F725E2" w:rsidRP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elektronicky přes EWP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všemi smluvními stranami. Podpisem </w:t>
      </w:r>
      <w:r w:rsid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tudijní smlouvy </w:t>
      </w:r>
      <w:r w:rsidR="00A81D5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stvrzuje, že s</w:t>
      </w:r>
      <w:r w:rsidR="004C2E1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 obsahem studia 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studenta souhlasí a že předměty</w:t>
      </w:r>
      <w:r w:rsidR="009F35C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/program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které má student ve </w:t>
      </w:r>
      <w:r w:rsidR="000B7B6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tudijní smlouvě zapsány a které na </w:t>
      </w:r>
      <w:r w:rsidR="007920A7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přijímající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instituci úspěšně absolvuje, mu budou po jeho návratu na </w:t>
      </w:r>
      <w:r w:rsidR="00A81D5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185BB4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plně uznány.</w:t>
      </w:r>
      <w:r w:rsid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</w:p>
    <w:p w14:paraId="0D7A8E7D" w14:textId="3B532F79" w:rsidR="000951C8" w:rsidRDefault="000951C8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31B913B9" w14:textId="77777777" w:rsidR="00A77CDF" w:rsidRPr="00B97825" w:rsidRDefault="00B5777B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Uznávání studijních výsledků</w:t>
      </w:r>
    </w:p>
    <w:p w14:paraId="24367088" w14:textId="1E1B012E" w:rsidR="00A759B1" w:rsidRPr="00B43B60" w:rsidRDefault="00A759B1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Pokud není </w:t>
      </w:r>
      <w:r w:rsidR="00B43B60"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zdůvodněno 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jinak ve Studijní smlouvě, student realizující zahraniční </w:t>
      </w:r>
      <w:r w:rsidR="008D69D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studijní 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pobyt musí na přijímající instituci získat ale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spoň takový počet kreditů, který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po přepočtu na kreditový systém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fakulty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kde je zaps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án</w:t>
      </w:r>
      <w:r w:rsidR="009D266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ke studiu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bude odpovídat </w:t>
      </w:r>
      <w:r w:rsidR="009D266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20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kreditům</w:t>
      </w:r>
      <w:r w:rsidR="00C61AA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za semestr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 rámci 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bakalářského studia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v rámci </w:t>
      </w:r>
      <w:r w:rsidR="005B62F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magisterského či navazujícího magisterského studia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  <w:r w:rsidR="008227D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Praktické stáže jsou vždy uvedené v Dodatku diplomu a mohou být </w:t>
      </w:r>
      <w:r w:rsidR="00297D8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uznané v</w:t>
      </w:r>
      <w:r w:rsidR="008227D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 rámci </w:t>
      </w:r>
      <w:r w:rsidR="0021520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kompatibilních</w:t>
      </w:r>
      <w:r w:rsidR="008227D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předmětů </w:t>
      </w:r>
      <w:r w:rsidR="0021520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včetně </w:t>
      </w:r>
      <w:r w:rsidR="008D69D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odpovídajícího</w:t>
      </w:r>
      <w:r w:rsidR="008227D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 kreditov</w:t>
      </w:r>
      <w:r w:rsidR="0021520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ého</w:t>
      </w:r>
      <w:r w:rsidR="008227D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ohodnocení</w:t>
      </w:r>
      <w:r w:rsidR="0021520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</w:p>
    <w:p w14:paraId="5787E074" w14:textId="70A0D46E" w:rsidR="00C61AAD" w:rsidRPr="00C61AAD" w:rsidRDefault="000C08FA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lastRenderedPageBreak/>
        <w:t>Na základě schválené S</w:t>
      </w:r>
      <w:r w:rsidRPr="00C61AA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tudijní smlouvy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musí být studentovi </w:t>
      </w:r>
      <w:r w:rsidRPr="00C61AA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plně uznán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y dosažené a T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ranskriptem studijních výsledků</w:t>
      </w:r>
      <w:r w:rsidR="00E27CA4">
        <w:rPr>
          <w:rStyle w:val="Znakapoznpodarou"/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footnoteReference w:id="2"/>
      </w:r>
      <w:r w:rsidR="00E27CA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8D69D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(</w:t>
      </w:r>
      <w:r w:rsidR="00207D6A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 případě stáží Traineeship Certificate)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doložené výsledky na přijímající instituci</w:t>
      </w:r>
      <w:r w:rsidR="0069746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 w:rsidR="00C61AAD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69746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Předmětem uznávání je klasif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ikační a kreditové </w:t>
      </w:r>
      <w:r w:rsidR="0069746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hodnocení absolvovaného studia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 zahraničí</w:t>
      </w:r>
      <w:r w:rsidR="0069746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 výjimkou klasifikační</w:t>
      </w:r>
      <w:r w:rsidR="00AE5F0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ho ohodnocení, které vyplývá z T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ranskriptu studijních výsledků, stanoví z</w:t>
      </w:r>
      <w:r w:rsidR="004C4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působ uznání Studijní smlouva. Uznání</w:t>
      </w:r>
      <w:r w:rsidR="000951C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</w:t>
      </w:r>
      <w:r w:rsidR="004C4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studijních výsledků ze zahraničí je </w:t>
      </w:r>
      <w:r w:rsidR="000951C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pověřen</w:t>
      </w:r>
      <w:r w:rsidR="004C4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garant studijního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oboru</w:t>
      </w:r>
      <w:r w:rsidR="004C4AA2" w:rsidRPr="007920A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fakulty, na které je student zapsán</w:t>
      </w:r>
      <w:r w:rsidR="004C4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ke studiu. </w:t>
      </w:r>
      <w:r w:rsidR="001978B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Za účelem posouzení kompatibility a uznatelnosti studijních výsledků může garant studijního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oboru</w:t>
      </w:r>
      <w:r w:rsidR="00AE5F0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vyžadovat doplnění T</w:t>
      </w:r>
      <w:r w:rsidR="001978B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ranskriptu studijních výsledků o převodní kreditové tabulky nebo další doplňující informace o absolvovaném studiu v zahraničí. Uznané studijní výsledky jsou společně s evidencí zahraničního pobytu zaznamenány ve Studentském informačním systému </w:t>
      </w:r>
      <w:r w:rsidR="007B549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(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Portál</w:t>
      </w:r>
      <w:r w:rsidR="007B549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)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1978B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</w:p>
    <w:p w14:paraId="12BAB42F" w14:textId="77777777" w:rsidR="00C61AAD" w:rsidRDefault="00C61AAD" w:rsidP="00CF7934">
      <w:pPr>
        <w:spacing w:before="60" w:line="240" w:lineRule="auto"/>
        <w:jc w:val="both"/>
        <w:rPr>
          <w:rFonts w:ascii="Verdana" w:hAnsi="Verdana" w:cs="Arial"/>
          <w:sz w:val="20"/>
          <w:szCs w:val="20"/>
        </w:rPr>
      </w:pPr>
    </w:p>
    <w:p w14:paraId="1F9F3416" w14:textId="77777777" w:rsidR="008E7836" w:rsidRPr="00B97825" w:rsidRDefault="00A77CDF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Finanční podpora</w:t>
      </w:r>
    </w:p>
    <w:p w14:paraId="399DEEA2" w14:textId="2583DEAF" w:rsidR="001A0B4F" w:rsidRDefault="00A77CDF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Finanční podpora 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programu Erasmus+ na zahraniční pobyty studentů </w:t>
      </w:r>
      <w:r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má formu </w:t>
      </w:r>
      <w:r w:rsidR="007A3B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příspěvku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B5777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na podporu studia v 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zahraničí a/</w:t>
      </w:r>
      <w:r w:rsidR="00B5777B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nebo konání praxe 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</w:t>
      </w:r>
      <w:r w:rsidR="00A81D5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 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zahraničí</w:t>
      </w:r>
      <w:r w:rsidR="00A81D5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Výše </w:t>
      </w:r>
      <w:r w:rsidR="007A3B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podpory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se řídí diferenciací </w:t>
      </w:r>
      <w:r w:rsidR="007A3B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finančních částek</w:t>
      </w:r>
      <w:r w:rsidR="005B5A5C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do jednotlivých zemí 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 způsobem výpočtu dle pravidel </w:t>
      </w:r>
      <w:r w:rsidR="003C552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programu Erasmus+ </w:t>
      </w:r>
      <w:r w:rsidR="003C552F" w:rsidRPr="00DD0AF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pro individ</w:t>
      </w:r>
      <w:r w:rsidR="003C552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uální mobility (Klíčová aktivita 1 – KA1) 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 aktuálním roce</w:t>
      </w:r>
      <w:r w:rsidR="00BF2E7E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  <w:r w:rsidR="007A3B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Příspěvek je</w:t>
      </w:r>
      <w:r w:rsidR="00804C6B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přiznán v souladu s délkou zahraničního </w:t>
      </w:r>
      <w:r w:rsid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pobytu dle akceptačního dopisu, doručeného partnerskou institucí</w:t>
      </w:r>
      <w:r w:rsidR="00804C6B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 v návaznosti na výši alokovaných prostředků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804C6B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na zahraniční pobyty studentů v rozhodném období. </w:t>
      </w:r>
    </w:p>
    <w:p w14:paraId="7AD890FE" w14:textId="19C099E6" w:rsidR="00677110" w:rsidRDefault="007A3B02" w:rsidP="00CF7934">
      <w:pPr>
        <w:ind w:firstLine="567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Finanční podpora</w:t>
      </w:r>
      <w:r w:rsidR="00A77CD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je určen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a</w:t>
      </w:r>
      <w:r w:rsidR="00A77CD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na pokrytí části nákladů souvisejících se zahraničním pobytem a představuje příspěvek na zvýšené náklady spojené s</w:t>
      </w:r>
      <w:r w:rsidR="00804C6B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 realizací zahraničního pobytu. 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Podmínky čerpání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příspěvku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upravuje tzv. Účastnická smlouva programu Erasmus+, kterou student uzavře s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e ZČU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před zahájením zahraničního pobytu. Zahraničního pobytu programu Erasmus+ </w:t>
      </w:r>
      <w:r w:rsidR="00677110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se může zúčastnit i 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nominovaný </w:t>
      </w:r>
      <w:r w:rsidR="00677110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student, kterému není 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přiznán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a</w:t>
      </w:r>
      <w:r w:rsidR="009A13FF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finanční podpora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(tzv. Zero-Grant S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tudent)</w:t>
      </w:r>
      <w:r w:rsidR="00677110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 Takovému studentovi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náleží </w:t>
      </w:r>
      <w:r w:rsidR="00677110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statut studenta programu Erasmus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+</w:t>
      </w:r>
      <w:r w:rsidR="00677110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který mu umožňuje využívat všech 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práv i povinností</w:t>
      </w:r>
      <w:r w:rsidR="00677110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programu Erasmus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+</w:t>
      </w:r>
      <w:r w:rsidR="00C472E9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</w:t>
      </w:r>
      <w:r w:rsidR="00426087" w:rsidRPr="001A0B4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 výjimkou povinností vyplývajících z finančních závazků Účastnické smlouvy. </w:t>
      </w:r>
    </w:p>
    <w:p w14:paraId="19BF9141" w14:textId="5479F88F" w:rsidR="007A3B02" w:rsidRDefault="007A3B02" w:rsidP="00CF7934">
      <w:pPr>
        <w:ind w:firstLine="567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Pokud není zdůvodněno jinak ve Studijní smlouvě, student realizující zahraniční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studijní 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pobyt musí na přijímající instituci získat ale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spoň takový počet kreditů, který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po přepočtu na kreditový systém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fakulty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kde je zaps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án ke studiu, bude odpovídat 20 kreditům za semestr 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 rámci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bakalářského studia</w:t>
      </w:r>
      <w:r w:rsidRPr="00B43B6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v rámci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magisterského či navazujícího magisterského studia (bod 8)</w:t>
      </w:r>
      <w:r w:rsidR="00C3560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Při nedodržení podmínek Studijní smlouvy</w:t>
      </w:r>
      <w:r w:rsidR="00C3560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tj. zisk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nižšího počtu ECTS kreditů na zahraniční instituci, následuje krácení finanční podpory,</w:t>
      </w:r>
      <w:r w:rsidR="00C3560E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 to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dle následujícího klíče.</w:t>
      </w:r>
    </w:p>
    <w:p w14:paraId="037DDB82" w14:textId="77777777" w:rsidR="007A3B02" w:rsidRDefault="007A3B02" w:rsidP="00CF7934">
      <w:pPr>
        <w:ind w:firstLine="567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28D4225C" w14:textId="7E609518" w:rsidR="007A3B02" w:rsidRPr="007A3B02" w:rsidRDefault="007A3B02" w:rsidP="00C3560E">
      <w:pPr>
        <w:ind w:left="567"/>
        <w:jc w:val="center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7A3B02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VÝŠE VRATKY</w:t>
      </w:r>
      <w:r w:rsidR="00C3560E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 xml:space="preserve"> FINANČNÍHO </w:t>
      </w:r>
      <w:r w:rsidR="00C3560E" w:rsidRPr="007A3B02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PŘÍSPĚVKU</w:t>
      </w:r>
      <w:r w:rsidRPr="007A3B02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 xml:space="preserve"> DLE POČTU SPLNĚNÝCH ECTS KREDITŮ</w:t>
      </w:r>
      <w:r w:rsidRPr="007A3B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Pr="007A3B02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ZA 1 SEMESTR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3B02" w:rsidRPr="007A3B02" w14:paraId="6BD9C1CD" w14:textId="77777777" w:rsidTr="00A6092D">
        <w:tc>
          <w:tcPr>
            <w:tcW w:w="4531" w:type="dxa"/>
          </w:tcPr>
          <w:p w14:paraId="6D36DEFD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20 ECTS a více</w:t>
            </w:r>
          </w:p>
        </w:tc>
        <w:tc>
          <w:tcPr>
            <w:tcW w:w="4531" w:type="dxa"/>
          </w:tcPr>
          <w:p w14:paraId="6D157942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OK</w:t>
            </w:r>
          </w:p>
        </w:tc>
      </w:tr>
      <w:tr w:rsidR="007A3B02" w:rsidRPr="007A3B02" w14:paraId="354BF3FF" w14:textId="77777777" w:rsidTr="00A6092D">
        <w:tc>
          <w:tcPr>
            <w:tcW w:w="4531" w:type="dxa"/>
          </w:tcPr>
          <w:p w14:paraId="1BECB3CF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19* ECTS</w:t>
            </w:r>
          </w:p>
        </w:tc>
        <w:tc>
          <w:tcPr>
            <w:tcW w:w="4531" w:type="dxa"/>
          </w:tcPr>
          <w:p w14:paraId="62BADA0C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0 EUR</w:t>
            </w:r>
          </w:p>
        </w:tc>
      </w:tr>
      <w:tr w:rsidR="007A3B02" w:rsidRPr="007A3B02" w14:paraId="7F3187D2" w14:textId="77777777" w:rsidTr="00A6092D">
        <w:tc>
          <w:tcPr>
            <w:tcW w:w="4531" w:type="dxa"/>
          </w:tcPr>
          <w:p w14:paraId="3DDC5E38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18–17 ECTS</w:t>
            </w:r>
          </w:p>
        </w:tc>
        <w:tc>
          <w:tcPr>
            <w:tcW w:w="4531" w:type="dxa"/>
          </w:tcPr>
          <w:p w14:paraId="4A17695A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100 EUR</w:t>
            </w:r>
          </w:p>
        </w:tc>
      </w:tr>
      <w:tr w:rsidR="007A3B02" w:rsidRPr="007A3B02" w14:paraId="557BCE45" w14:textId="77777777" w:rsidTr="00A6092D">
        <w:tc>
          <w:tcPr>
            <w:tcW w:w="4531" w:type="dxa"/>
          </w:tcPr>
          <w:p w14:paraId="2A34733C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16–15 ECTS</w:t>
            </w:r>
          </w:p>
        </w:tc>
        <w:tc>
          <w:tcPr>
            <w:tcW w:w="4531" w:type="dxa"/>
          </w:tcPr>
          <w:p w14:paraId="393586A9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200 EUR</w:t>
            </w:r>
          </w:p>
        </w:tc>
      </w:tr>
      <w:tr w:rsidR="007A3B02" w:rsidRPr="007A3B02" w14:paraId="0CC130B2" w14:textId="77777777" w:rsidTr="00A6092D">
        <w:tc>
          <w:tcPr>
            <w:tcW w:w="4531" w:type="dxa"/>
          </w:tcPr>
          <w:p w14:paraId="09A514D9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14–13 ECTS</w:t>
            </w:r>
          </w:p>
        </w:tc>
        <w:tc>
          <w:tcPr>
            <w:tcW w:w="4531" w:type="dxa"/>
          </w:tcPr>
          <w:p w14:paraId="1D1D6BE7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300 EUR</w:t>
            </w:r>
          </w:p>
        </w:tc>
      </w:tr>
      <w:tr w:rsidR="007A3B02" w:rsidRPr="007A3B02" w14:paraId="30325663" w14:textId="77777777" w:rsidTr="00A6092D">
        <w:tc>
          <w:tcPr>
            <w:tcW w:w="4531" w:type="dxa"/>
          </w:tcPr>
          <w:p w14:paraId="6A75E3D8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lastRenderedPageBreak/>
              <w:t>12–11 ECTS</w:t>
            </w:r>
          </w:p>
        </w:tc>
        <w:tc>
          <w:tcPr>
            <w:tcW w:w="4531" w:type="dxa"/>
          </w:tcPr>
          <w:p w14:paraId="47B2C4BD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400 EUR</w:t>
            </w:r>
          </w:p>
        </w:tc>
      </w:tr>
      <w:tr w:rsidR="007A3B02" w:rsidRPr="007A3B02" w14:paraId="6ECED2B9" w14:textId="77777777" w:rsidTr="00A6092D">
        <w:tc>
          <w:tcPr>
            <w:tcW w:w="4531" w:type="dxa"/>
          </w:tcPr>
          <w:p w14:paraId="1628D1A2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10–9 ECTS</w:t>
            </w:r>
          </w:p>
        </w:tc>
        <w:tc>
          <w:tcPr>
            <w:tcW w:w="4531" w:type="dxa"/>
          </w:tcPr>
          <w:p w14:paraId="36FEFA23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500 EUR</w:t>
            </w:r>
          </w:p>
        </w:tc>
      </w:tr>
      <w:tr w:rsidR="007A3B02" w:rsidRPr="007A3B02" w14:paraId="09B51FE6" w14:textId="77777777" w:rsidTr="00A6092D">
        <w:tc>
          <w:tcPr>
            <w:tcW w:w="4531" w:type="dxa"/>
          </w:tcPr>
          <w:p w14:paraId="0F770463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8–7 ECTS</w:t>
            </w:r>
          </w:p>
        </w:tc>
        <w:tc>
          <w:tcPr>
            <w:tcW w:w="4531" w:type="dxa"/>
          </w:tcPr>
          <w:p w14:paraId="63F00322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600 EUR</w:t>
            </w:r>
          </w:p>
        </w:tc>
      </w:tr>
      <w:tr w:rsidR="007A3B02" w:rsidRPr="007A3B02" w14:paraId="3C9A9EFF" w14:textId="77777777" w:rsidTr="00A6092D">
        <w:tc>
          <w:tcPr>
            <w:tcW w:w="4531" w:type="dxa"/>
          </w:tcPr>
          <w:p w14:paraId="0495674A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6–5 ECTS</w:t>
            </w:r>
          </w:p>
        </w:tc>
        <w:tc>
          <w:tcPr>
            <w:tcW w:w="4531" w:type="dxa"/>
          </w:tcPr>
          <w:p w14:paraId="72A84637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700 EUR</w:t>
            </w:r>
          </w:p>
        </w:tc>
      </w:tr>
      <w:tr w:rsidR="007A3B02" w:rsidRPr="007A3B02" w14:paraId="244396B9" w14:textId="77777777" w:rsidTr="00A6092D">
        <w:tc>
          <w:tcPr>
            <w:tcW w:w="4531" w:type="dxa"/>
          </w:tcPr>
          <w:p w14:paraId="12D26F96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4–3 ECTS</w:t>
            </w:r>
          </w:p>
        </w:tc>
        <w:tc>
          <w:tcPr>
            <w:tcW w:w="4531" w:type="dxa"/>
          </w:tcPr>
          <w:p w14:paraId="2E0F83E4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800 EUR</w:t>
            </w:r>
          </w:p>
        </w:tc>
      </w:tr>
      <w:tr w:rsidR="007A3B02" w:rsidRPr="007A3B02" w14:paraId="5561308E" w14:textId="77777777" w:rsidTr="00A6092D">
        <w:tc>
          <w:tcPr>
            <w:tcW w:w="4531" w:type="dxa"/>
          </w:tcPr>
          <w:p w14:paraId="4FFA0954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2–1 ECTS</w:t>
            </w:r>
          </w:p>
        </w:tc>
        <w:tc>
          <w:tcPr>
            <w:tcW w:w="4531" w:type="dxa"/>
          </w:tcPr>
          <w:p w14:paraId="4644B85A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900 EUR</w:t>
            </w:r>
          </w:p>
        </w:tc>
      </w:tr>
      <w:tr w:rsidR="007A3B02" w:rsidRPr="007A3B02" w14:paraId="0D65A1C1" w14:textId="77777777" w:rsidTr="00A6092D">
        <w:trPr>
          <w:trHeight w:val="70"/>
        </w:trPr>
        <w:tc>
          <w:tcPr>
            <w:tcW w:w="4531" w:type="dxa"/>
          </w:tcPr>
          <w:p w14:paraId="0C90ABF4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0 ECTS</w:t>
            </w:r>
          </w:p>
        </w:tc>
        <w:tc>
          <w:tcPr>
            <w:tcW w:w="4531" w:type="dxa"/>
          </w:tcPr>
          <w:p w14:paraId="2521667D" w14:textId="77777777" w:rsidR="007A3B02" w:rsidRPr="007A3B02" w:rsidRDefault="007A3B02" w:rsidP="007A3B02">
            <w:pPr>
              <w:ind w:firstLine="567"/>
              <w:jc w:val="both"/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</w:pPr>
            <w:r w:rsidRPr="007A3B02">
              <w:rPr>
                <w:rFonts w:asciiTheme="majorHAnsi" w:eastAsia="Times New Roman" w:hAnsiTheme="majorHAnsi" w:cs="Helvetica"/>
                <w:color w:val="333333"/>
                <w:sz w:val="23"/>
                <w:szCs w:val="23"/>
                <w:lang w:eastAsia="cs-CZ"/>
              </w:rPr>
              <w:t>1000 EUR</w:t>
            </w:r>
          </w:p>
        </w:tc>
      </w:tr>
    </w:tbl>
    <w:p w14:paraId="0EFB2283" w14:textId="77777777" w:rsidR="007A3B02" w:rsidRPr="007A3B02" w:rsidRDefault="007A3B02" w:rsidP="007A3B02">
      <w:pPr>
        <w:ind w:firstLine="567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5367B44F" w14:textId="77777777" w:rsidR="007A3B02" w:rsidRDefault="007A3B02" w:rsidP="007A3B02">
      <w:pPr>
        <w:ind w:firstLine="567"/>
        <w:jc w:val="both"/>
        <w:rPr>
          <w:rFonts w:asciiTheme="majorHAnsi" w:eastAsia="Times New Roman" w:hAnsiTheme="majorHAnsi" w:cs="Helvetica"/>
          <w:color w:val="333333"/>
          <w:szCs w:val="21"/>
          <w:lang w:eastAsia="cs-CZ"/>
        </w:rPr>
      </w:pPr>
      <w:r w:rsidRPr="007A3B02">
        <w:rPr>
          <w:rFonts w:asciiTheme="majorHAnsi" w:eastAsia="Times New Roman" w:hAnsiTheme="majorHAnsi" w:cs="Helvetica"/>
          <w:color w:val="333333"/>
          <w:szCs w:val="21"/>
          <w:lang w:eastAsia="cs-CZ"/>
        </w:rPr>
        <w:t>*V případě splnění 19 ECTS nutné doložit relevantní důvod, který bude schválen fakultním koordinátorem. V případě nedostatečného zdůvodnění vrací studující</w:t>
      </w:r>
      <w:r w:rsidRPr="007A3B02">
        <w:rPr>
          <w:rFonts w:asciiTheme="majorHAnsi" w:eastAsia="Times New Roman" w:hAnsiTheme="majorHAnsi" w:cs="Helvetica"/>
          <w:color w:val="333333"/>
          <w:szCs w:val="21"/>
          <w:lang w:eastAsia="cs-CZ"/>
        </w:rPr>
        <w:br/>
        <w:t>100 EUR.</w:t>
      </w:r>
    </w:p>
    <w:p w14:paraId="50CB6AD6" w14:textId="3B5D4AE1" w:rsidR="00A00E72" w:rsidRPr="007A3B02" w:rsidRDefault="00A00E72" w:rsidP="007A3B02">
      <w:pPr>
        <w:ind w:firstLine="567"/>
        <w:jc w:val="both"/>
        <w:rPr>
          <w:rFonts w:asciiTheme="majorHAnsi" w:eastAsia="Times New Roman" w:hAnsiTheme="majorHAnsi" w:cs="Helvetica"/>
          <w:color w:val="333333"/>
          <w:szCs w:val="21"/>
          <w:lang w:eastAsia="cs-CZ"/>
        </w:rPr>
      </w:pPr>
      <w:r w:rsidRPr="00A00E72">
        <w:rPr>
          <w:rFonts w:asciiTheme="majorHAnsi" w:eastAsia="Times New Roman" w:hAnsiTheme="majorHAnsi" w:cs="Helvetica"/>
          <w:color w:val="333333"/>
          <w:szCs w:val="21"/>
          <w:lang w:eastAsia="cs-CZ"/>
        </w:rPr>
        <w:t xml:space="preserve">International Office </w:t>
      </w:r>
      <w:r>
        <w:rPr>
          <w:rFonts w:asciiTheme="majorHAnsi" w:eastAsia="Times New Roman" w:hAnsiTheme="majorHAnsi" w:cs="Helvetica"/>
          <w:color w:val="333333"/>
          <w:szCs w:val="21"/>
          <w:lang w:eastAsia="cs-CZ"/>
        </w:rPr>
        <w:t xml:space="preserve">ZČU </w:t>
      </w:r>
      <w:r w:rsidRPr="00A00E72">
        <w:rPr>
          <w:rFonts w:asciiTheme="majorHAnsi" w:eastAsia="Times New Roman" w:hAnsiTheme="majorHAnsi" w:cs="Helvetica"/>
          <w:color w:val="333333"/>
          <w:szCs w:val="21"/>
          <w:lang w:eastAsia="cs-CZ"/>
        </w:rPr>
        <w:t>si vyhrazuje právo posoudit každý případ individuálně a konzultovat jej s příslušnou fakultou studenta, kterého se dané krácení týká. Fakulta může na základě předložených a uznaných důvodů rozhodnout o snížení výše vratky nebo o jejím úplném odpuštění.</w:t>
      </w:r>
    </w:p>
    <w:p w14:paraId="0BDF9EF4" w14:textId="77777777" w:rsidR="007A3B02" w:rsidRPr="001A0B4F" w:rsidRDefault="007A3B02" w:rsidP="00CF7934">
      <w:pPr>
        <w:ind w:firstLine="567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574B1B4E" w14:textId="23357BC0" w:rsidR="00A77CDF" w:rsidRPr="00437A02" w:rsidRDefault="00A77CDF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437A02">
        <w:rPr>
          <w:rFonts w:asciiTheme="majorHAnsi" w:hAnsiTheme="majorHAnsi"/>
          <w:b/>
          <w:sz w:val="23"/>
          <w:szCs w:val="23"/>
        </w:rPr>
        <w:t>Podpora st</w:t>
      </w:r>
      <w:r w:rsidR="008C0E42" w:rsidRPr="00437A02">
        <w:rPr>
          <w:rFonts w:asciiTheme="majorHAnsi" w:hAnsiTheme="majorHAnsi"/>
          <w:b/>
          <w:sz w:val="23"/>
          <w:szCs w:val="23"/>
        </w:rPr>
        <w:t xml:space="preserve">udentů </w:t>
      </w:r>
      <w:r w:rsidR="005C78E4" w:rsidRPr="00437A02">
        <w:rPr>
          <w:rFonts w:asciiTheme="majorHAnsi" w:hAnsiTheme="majorHAnsi"/>
          <w:b/>
          <w:sz w:val="23"/>
          <w:szCs w:val="23"/>
        </w:rPr>
        <w:t>s omezenými příležitostmi</w:t>
      </w:r>
      <w:r w:rsidR="009F07C3" w:rsidRPr="00437A02">
        <w:rPr>
          <w:rFonts w:asciiTheme="majorHAnsi" w:hAnsiTheme="majorHAnsi"/>
          <w:b/>
          <w:sz w:val="23"/>
          <w:szCs w:val="23"/>
        </w:rPr>
        <w:t xml:space="preserve"> či jinou překážkou</w:t>
      </w:r>
    </w:p>
    <w:p w14:paraId="61C8EC4D" w14:textId="236F5E83" w:rsidR="009F07C3" w:rsidRPr="00437A02" w:rsidRDefault="008F60F5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="000D4B34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 souladu </w:t>
      </w:r>
      <w:r w:rsidR="00D943B0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se závazky Charty programu Erasmus+ (</w:t>
      </w:r>
      <w:r w:rsidR="000951C8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tzv. </w:t>
      </w:r>
      <w:r w:rsidR="00D943B0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Erasmus Charter for Higher Education) usiluje </w:t>
      </w:r>
      <w:r w:rsidR="000951C8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 podobě rovného přístupu </w:t>
      </w:r>
      <w:r w:rsidR="00D943B0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o zprostředkování zahraničního pobytu co největšímu spektru </w:t>
      </w:r>
      <w:r w:rsidR="000D4B34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studentů.</w:t>
      </w:r>
      <w:r w:rsidR="00505AE6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Vhodnost podpory bude posouzena v rámci výběrového řízení.</w:t>
      </w:r>
    </w:p>
    <w:p w14:paraId="02897CCB" w14:textId="206E2DDE" w:rsidR="00437A02" w:rsidRDefault="00437A02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Výše finanční podpory je zveřejněna a pravidelně aktualizována na webu International Office</w:t>
      </w:r>
    </w:p>
    <w:p w14:paraId="336DCF53" w14:textId="77777777" w:rsidR="00E266E0" w:rsidRPr="00437A02" w:rsidRDefault="00E266E0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4169E0B0" w14:textId="12905BC0" w:rsidR="009F07C3" w:rsidRPr="00437A02" w:rsidRDefault="009F07C3" w:rsidP="007C4A91">
      <w:pPr>
        <w:pStyle w:val="Odstavecseseznamem"/>
        <w:numPr>
          <w:ilvl w:val="0"/>
          <w:numId w:val="36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Studenti s ekonomickou </w:t>
      </w:r>
      <w:r w:rsidR="00194CE7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překážkou – z</w:t>
      </w:r>
      <w:r w:rsidR="00D943B0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 hlediska vyrovnání ekonomické náročnosti realizace zahraničního pobytu zajišťuje navýšenou finanční podporu </w:t>
      </w:r>
      <w:r w:rsidR="000951C8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 souladu s</w:t>
      </w:r>
      <w:r w:rsidR="009D4DD3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 </w:t>
      </w:r>
      <w:r w:rsidR="000951C8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pravid</w:t>
      </w:r>
      <w:r w:rsidR="009D4DD3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ly programu Erasmus+ </w:t>
      </w:r>
    </w:p>
    <w:p w14:paraId="17647643" w14:textId="0B261D6F" w:rsidR="00505AE6" w:rsidRDefault="00437A02" w:rsidP="00505AE6">
      <w:pPr>
        <w:pStyle w:val="Odstavecseseznamem"/>
        <w:numPr>
          <w:ilvl w:val="0"/>
          <w:numId w:val="39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ž</w:t>
      </w:r>
      <w:r w:rsidR="00505AE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ádost o navýšení stipendia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ve formě jednotkového top-up mohou podávat studenti s ekonomickou překážkou a studenti s dětmi/závislými osobami</w:t>
      </w:r>
    </w:p>
    <w:p w14:paraId="5043E0E6" w14:textId="22B0E97C" w:rsidR="00437A02" w:rsidRDefault="00437A02" w:rsidP="00505AE6">
      <w:pPr>
        <w:pStyle w:val="Odstavecseseznamem"/>
        <w:numPr>
          <w:ilvl w:val="0"/>
          <w:numId w:val="39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 navýšení může požádat student, který pobírá sociální stipendium nebo má nárok na přídavek na dítě</w:t>
      </w:r>
    </w:p>
    <w:p w14:paraId="2CFD8637" w14:textId="3C37C06D" w:rsidR="00437A02" w:rsidRDefault="00437A02" w:rsidP="00437A02">
      <w:pPr>
        <w:pStyle w:val="Odstavecseseznamem"/>
        <w:numPr>
          <w:ilvl w:val="0"/>
          <w:numId w:val="39"/>
        </w:numP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</w:t>
      </w: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tudent, který nemá nárok na přídavek na dítě podle zvláštního právního předpisu, může rovněž požádat o navýšení sazby, pokud doloží, že rozhodný příjem v rodině nepřevyšuje součin částky životního minima rodiny a koeficientu 3,4</w:t>
      </w:r>
    </w:p>
    <w:p w14:paraId="49E081F0" w14:textId="5514BA02" w:rsidR="00437A02" w:rsidRDefault="00437A02" w:rsidP="00437A02">
      <w:pPr>
        <w:pStyle w:val="Odstavecseseznamem"/>
        <w:numPr>
          <w:ilvl w:val="0"/>
          <w:numId w:val="39"/>
        </w:numP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studenti s dětmi/závislými osobami doloží potvrzení, které dokládá tuto skutečnost, bude posuzováno indiv</w:t>
      </w:r>
      <w:r w:rsidR="00AA7AE3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i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duálně</w:t>
      </w:r>
    </w:p>
    <w:p w14:paraId="6F5B663D" w14:textId="77777777" w:rsidR="00E266E0" w:rsidRPr="00437A02" w:rsidRDefault="00E266E0" w:rsidP="00E266E0">
      <w:pPr>
        <w:pStyle w:val="Odstavecseseznamem"/>
        <w:ind w:left="1080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3AF158D9" w14:textId="77777777" w:rsidR="00505AE6" w:rsidRPr="00437A02" w:rsidRDefault="00D943B0" w:rsidP="007C4A91">
      <w:pPr>
        <w:pStyle w:val="Odstavecseseznamem"/>
        <w:numPr>
          <w:ilvl w:val="0"/>
          <w:numId w:val="36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studentům se zdravotním </w:t>
      </w:r>
      <w:r w:rsidR="00505AE6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omezením</w:t>
      </w: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</w:p>
    <w:p w14:paraId="77636563" w14:textId="050155BB" w:rsidR="000D4B34" w:rsidRPr="00437A02" w:rsidRDefault="00505AE6" w:rsidP="00505AE6">
      <w:pPr>
        <w:pStyle w:val="Odstavecseseznamem"/>
        <w:numPr>
          <w:ilvl w:val="0"/>
          <w:numId w:val="38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ž</w:t>
      </w:r>
      <w:r w:rsidR="009D4DD3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ádost o navýšení stipendia programu Erasmus+ může podat každý nominovaný student </w:t>
      </w:r>
      <w:r w:rsidR="008F60F5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pracovišt</w:t>
      </w:r>
      <w:r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i</w:t>
      </w:r>
      <w:r w:rsidR="008F60F5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365165" w:rsidRPr="00437A0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International Office</w:t>
      </w:r>
    </w:p>
    <w:p w14:paraId="1F4294A4" w14:textId="139CE44F" w:rsidR="00505AE6" w:rsidRDefault="00505AE6" w:rsidP="00505AE6">
      <w:pPr>
        <w:pStyle w:val="Odstavecseseznamem"/>
        <w:numPr>
          <w:ilvl w:val="0"/>
          <w:numId w:val="38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studentovi bude uhrazeno </w:t>
      </w:r>
      <w:r w:rsidR="00194CE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100 %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skutečných nákladů po doložení příslušných dokladů, účtenek</w:t>
      </w:r>
      <w:r w:rsid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 J</w:t>
      </w:r>
      <w:r w:rsidR="00204926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edná se o </w:t>
      </w:r>
      <w:r w:rsidR="00204926" w:rsidRP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rozdíl v ceně požadovan</w:t>
      </w:r>
      <w:r w:rsid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ých</w:t>
      </w:r>
      <w:r w:rsidR="00204926" w:rsidRP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nadstandardní</w:t>
      </w:r>
      <w:r w:rsid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ch nákladů</w:t>
      </w:r>
      <w:r w:rsidR="00204926" w:rsidRP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oproti běžn</w:t>
      </w:r>
      <w:r w:rsid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ým</w:t>
      </w:r>
      <w:r w:rsidR="00204926" w:rsidRP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(</w:t>
      </w:r>
      <w:r w:rsidR="00E266E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nevztahuje se na intoleranci laktózy a bezlepkovou dietu</w:t>
      </w:r>
      <w:r w:rsidR="00204926" w:rsidRPr="006A406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)</w:t>
      </w:r>
      <w:r w:rsidR="00E266E0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</w:p>
    <w:p w14:paraId="3C141AF6" w14:textId="77777777" w:rsidR="00971AA2" w:rsidRDefault="00971AA2" w:rsidP="00971AA2">
      <w:pPr>
        <w:pStyle w:val="Odstavecseseznamem"/>
        <w:ind w:left="1080"/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45547B85" w14:textId="35A13020" w:rsidR="009F07C3" w:rsidRDefault="009F07C3" w:rsidP="007C4A91">
      <w:pPr>
        <w:pStyle w:val="Odstavecseseznamem"/>
        <w:numPr>
          <w:ilvl w:val="0"/>
          <w:numId w:val="36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Studenti s jinou překážkou (práce, profesionální sport) mohou využít možnosti kratší kombinované mobility.</w:t>
      </w:r>
    </w:p>
    <w:p w14:paraId="12B9942D" w14:textId="3512C107" w:rsidR="009F07C3" w:rsidRDefault="009F07C3" w:rsidP="009F07C3">
      <w:pPr>
        <w:pStyle w:val="Odstavecseseznamem"/>
        <w:numPr>
          <w:ilvl w:val="0"/>
          <w:numId w:val="37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lastRenderedPageBreak/>
        <w:t>pracující studenti žádající o krátkodobou mobilitu předloží doklad p</w:t>
      </w:r>
      <w:r w:rsidR="00A5320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otvrzu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jící</w:t>
      </w:r>
      <w:r w:rsidR="00A5320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alespoň 1/2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pracovní úvazek za předchozí období 6 měsíců</w:t>
      </w:r>
    </w:p>
    <w:p w14:paraId="2B83F6CC" w14:textId="6339FDCF" w:rsidR="00A53207" w:rsidRDefault="00A53207" w:rsidP="009F07C3">
      <w:pPr>
        <w:pStyle w:val="Odstavecseseznamem"/>
        <w:numPr>
          <w:ilvl w:val="0"/>
          <w:numId w:val="37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profesionální sportovci žádající o krátkodobou mobilitu předloží doklad potvrzující smluvní vztah s organizací/klubem/ oddílem</w:t>
      </w:r>
    </w:p>
    <w:p w14:paraId="42CAD154" w14:textId="50603202" w:rsidR="00A53207" w:rsidRDefault="00A53207" w:rsidP="009F07C3">
      <w:pPr>
        <w:pStyle w:val="Odstavecseseznamem"/>
        <w:numPr>
          <w:ilvl w:val="0"/>
          <w:numId w:val="37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</w:t>
      </w:r>
      <w:r w:rsidRPr="00A5320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rofesionálním sportovcem je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fyzické osoba</w:t>
      </w:r>
      <w:r w:rsidRPr="00A5320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, pro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niž</w:t>
      </w:r>
      <w:r w:rsidRPr="00A53207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je sportovní činnost výdělečnou činností na základě smluvního vztahu</w:t>
      </w:r>
    </w:p>
    <w:p w14:paraId="7B7F1E9D" w14:textId="65CAB119" w:rsidR="00437A02" w:rsidRPr="00971AA2" w:rsidRDefault="00A53207" w:rsidP="00437A02">
      <w:pPr>
        <w:pStyle w:val="Odstavecseseznamem"/>
        <w:numPr>
          <w:ilvl w:val="0"/>
          <w:numId w:val="37"/>
        </w:num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studenti s jinou překážkou doloží k žádosti o krátkodobou mobilitu souhlas přijímající instituce s jejich přijetím. </w:t>
      </w:r>
    </w:p>
    <w:p w14:paraId="3B356FF1" w14:textId="77777777" w:rsidR="000D4B34" w:rsidRPr="00D943B0" w:rsidRDefault="000D4B34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0C143676" w14:textId="77777777" w:rsidR="008E7836" w:rsidRPr="00B97825" w:rsidRDefault="008C0E42" w:rsidP="00B97825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b/>
          <w:sz w:val="23"/>
          <w:szCs w:val="23"/>
        </w:rPr>
      </w:pPr>
      <w:r w:rsidRPr="00B97825">
        <w:rPr>
          <w:rFonts w:asciiTheme="majorHAnsi" w:hAnsiTheme="majorHAnsi"/>
          <w:b/>
          <w:sz w:val="23"/>
          <w:szCs w:val="23"/>
        </w:rPr>
        <w:t>Poplatky spojené se zahraničním pobytem</w:t>
      </w:r>
    </w:p>
    <w:p w14:paraId="7E7A1266" w14:textId="08550951" w:rsidR="008C0E42" w:rsidRDefault="008C0E42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Přijímající instituce nesmí od studenta požadovat žádné školné, registrační a administrativní poplatky, p</w:t>
      </w:r>
      <w:r w:rsid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oplatek za užívání laboratoří, </w:t>
      </w: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knihoven apod. Výjimkou může být hrazení drobných výdajů, např.</w:t>
      </w:r>
      <w:r w:rsid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za doplňkové pojištění, členství ve students</w:t>
      </w:r>
      <w:r w:rsidR="00057878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kých organizacích nebo používání</w:t>
      </w: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materiálů (fotokopie, laboratorní </w:t>
      </w:r>
      <w:r w:rsidR="00194CE7"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produkty</w:t>
      </w: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apod.)</w:t>
      </w:r>
      <w:r w:rsidR="003C552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, zejména pokud tyto poplatky přijímající instituce vyžaduje od všech svých studentů</w:t>
      </w: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. </w:t>
      </w:r>
      <w:r w:rsidR="008F60F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ZČU</w:t>
      </w: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nesmí požadovat po vyjíždějícím studentovi žádné poplatky za organizaci nebo administraci zahraničního pobytu. </w:t>
      </w:r>
      <w:r w:rsidR="00556EB1"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Zahraniční pobyt jako integrální součást akreditovaného studijního programu nezakládá nárok studenta na osvobození od poplatků </w:t>
      </w:r>
      <w:r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za prodlouženou dobu studia/další studium</w:t>
      </w:r>
      <w:r w:rsidR="00556EB1"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ve sm</w:t>
      </w:r>
      <w:r w:rsidR="005F2255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yslu zákona č. 111/1998 Sb., o v</w:t>
      </w:r>
      <w:r w:rsidR="00556EB1" w:rsidRPr="00556EB1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ysokých školách, v platném znění. </w:t>
      </w:r>
    </w:p>
    <w:p w14:paraId="19B8C04D" w14:textId="20618ACB" w:rsidR="00365165" w:rsidRDefault="00365165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591663FD" w14:textId="77777777" w:rsidR="00F96F28" w:rsidRDefault="00F96F28" w:rsidP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62D1C192" w14:textId="5E9AEDCB" w:rsidR="00365165" w:rsidRDefault="00CB4DEF" w:rsidP="00CB4DEF">
      <w:pPr>
        <w:pStyle w:val="Odstavecseseznamem"/>
        <w:numPr>
          <w:ilvl w:val="0"/>
          <w:numId w:val="34"/>
        </w:numPr>
        <w:jc w:val="both"/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K</w:t>
      </w:r>
      <w:r w:rsidR="00365165" w:rsidRPr="00CB4DEF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rátkodob</w:t>
      </w:r>
      <w:r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ý</w:t>
      </w:r>
      <w:r w:rsidR="00365165" w:rsidRPr="00CB4DEF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 xml:space="preserve"> zahraniční pobyt studentů </w:t>
      </w:r>
      <w:r w:rsidR="005C78E4"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doktorského studia PhD.</w:t>
      </w:r>
    </w:p>
    <w:p w14:paraId="7C19D83B" w14:textId="434E96DD" w:rsidR="00CB4DEF" w:rsidRDefault="00CB4DEF" w:rsidP="00CB4DEF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 w:rsidRPr="00CB4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Na krátkodobé zahraniční pobyty mohou vyjíždět studenti řádně zapsaní do doktorského programu na ZČU.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Pr="00CB4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Trvání zahraničního </w:t>
      </w:r>
      <w:r w:rsidR="00194CE7" w:rsidRPr="00CB4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pobytu je</w:t>
      </w:r>
      <w:r w:rsidRPr="00CB4DEF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od 5 do 30 dní.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</w:t>
      </w:r>
      <w:r w:rsidR="006D5534" w:rsidRP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Je možný </w:t>
      </w:r>
      <w:r w:rsid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pouze </w:t>
      </w:r>
      <w:r w:rsidR="006D5534" w:rsidRP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jeden krátkodobý </w:t>
      </w:r>
      <w:proofErr w:type="spellStart"/>
      <w:r w:rsidR="006D5534" w:rsidRP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zahr</w:t>
      </w:r>
      <w:proofErr w:type="spellEnd"/>
      <w:r w:rsidR="006D5534" w:rsidRP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 pobyt PhD</w:t>
      </w:r>
      <w:r w:rsid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.</w:t>
      </w:r>
      <w:r w:rsidR="006D5534" w:rsidRPr="006D553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 studenta v jednom projektovém období. Musí být zároveň povinnou součástí PhD studia.</w:t>
      </w:r>
    </w:p>
    <w:p w14:paraId="09B52691" w14:textId="168E423D" w:rsidR="00CB4DEF" w:rsidRDefault="00CB4DEF" w:rsidP="00CB4DEF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Výběr studentů na krátkodobé zahraniční pobyty mohou probíhat i v průběhu akademického roku. International Office si vyhrazuje právo na omezení počtu vybraných studentů </w:t>
      </w:r>
      <w:r w:rsidR="00971AA2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a financovaných dnů </w:t>
      </w: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 xml:space="preserve">v závislosti na celkové finanční podpoře v rámci programu Erasmus+, který ZČU obdrží na daný akademický rok. Toto bude vždy komunikováno na jednotlivé fakulty </w:t>
      </w:r>
      <w:r w:rsidR="005C78E4"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bezprostředně po schválení žádosti ERA KA1 na daný akademický rok.</w:t>
      </w:r>
    </w:p>
    <w:p w14:paraId="2D639B55" w14:textId="20FCD251" w:rsidR="00CB4DEF" w:rsidRDefault="00CB4DEF" w:rsidP="00CB4DEF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p w14:paraId="1E1D2A58" w14:textId="1B2599FC" w:rsidR="00402723" w:rsidRDefault="00D1134C" w:rsidP="00402723">
      <w:pPr>
        <w:pStyle w:val="Odstavecseseznamem"/>
        <w:numPr>
          <w:ilvl w:val="0"/>
          <w:numId w:val="34"/>
        </w:numPr>
        <w:jc w:val="both"/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3"/>
          <w:szCs w:val="23"/>
          <w:lang w:eastAsia="cs-CZ"/>
        </w:rPr>
        <w:t>Příspěvek na cestovní náklady a Green Erasmus</w:t>
      </w:r>
    </w:p>
    <w:p w14:paraId="0E32C590" w14:textId="6CF8E1BA" w:rsidR="00D1134C" w:rsidRPr="00D1134C" w:rsidRDefault="00D1134C" w:rsidP="00D1134C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  <w:r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  <w:t>Od akademického roku 2025/2026 mají studenti vyjíždějící v rámci programu Erasmus+ nárok na příspěvek na cestu na základě tabulky níže.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1134C" w14:paraId="3CB9C03E" w14:textId="77777777" w:rsidTr="003B3340">
        <w:tc>
          <w:tcPr>
            <w:tcW w:w="2880" w:type="dxa"/>
          </w:tcPr>
          <w:p w14:paraId="0DBE0DAF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Vzdálenost</w:t>
            </w:r>
          </w:p>
        </w:tc>
        <w:tc>
          <w:tcPr>
            <w:tcW w:w="2880" w:type="dxa"/>
          </w:tcPr>
          <w:p w14:paraId="4F1FACCB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Výše cestovního nákladu v případě Green Erasmus</w:t>
            </w:r>
          </w:p>
        </w:tc>
        <w:tc>
          <w:tcPr>
            <w:tcW w:w="2880" w:type="dxa"/>
          </w:tcPr>
          <w:p w14:paraId="0D34C6C2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Výše cestovního nákladu (non-green)</w:t>
            </w:r>
          </w:p>
        </w:tc>
      </w:tr>
      <w:tr w:rsidR="00D1134C" w14:paraId="02E15D6C" w14:textId="77777777" w:rsidTr="003B3340">
        <w:tc>
          <w:tcPr>
            <w:tcW w:w="2880" w:type="dxa"/>
          </w:tcPr>
          <w:p w14:paraId="3D10D41B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10 – 99 km</w:t>
            </w:r>
          </w:p>
        </w:tc>
        <w:tc>
          <w:tcPr>
            <w:tcW w:w="2880" w:type="dxa"/>
          </w:tcPr>
          <w:p w14:paraId="49A5D185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56 €</w:t>
            </w:r>
          </w:p>
        </w:tc>
        <w:tc>
          <w:tcPr>
            <w:tcW w:w="2880" w:type="dxa"/>
          </w:tcPr>
          <w:p w14:paraId="7963C09E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28 €</w:t>
            </w:r>
          </w:p>
        </w:tc>
      </w:tr>
      <w:tr w:rsidR="00D1134C" w14:paraId="0CC0D039" w14:textId="77777777" w:rsidTr="003B3340">
        <w:tc>
          <w:tcPr>
            <w:tcW w:w="2880" w:type="dxa"/>
          </w:tcPr>
          <w:p w14:paraId="1AC99AA1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100 – 499 km</w:t>
            </w:r>
          </w:p>
        </w:tc>
        <w:tc>
          <w:tcPr>
            <w:tcW w:w="2880" w:type="dxa"/>
          </w:tcPr>
          <w:p w14:paraId="433DD447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285 €</w:t>
            </w:r>
          </w:p>
        </w:tc>
        <w:tc>
          <w:tcPr>
            <w:tcW w:w="2880" w:type="dxa"/>
          </w:tcPr>
          <w:p w14:paraId="360584B4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211 €</w:t>
            </w:r>
          </w:p>
        </w:tc>
      </w:tr>
      <w:tr w:rsidR="00D1134C" w14:paraId="4224A725" w14:textId="77777777" w:rsidTr="003B3340">
        <w:tc>
          <w:tcPr>
            <w:tcW w:w="2880" w:type="dxa"/>
          </w:tcPr>
          <w:p w14:paraId="5C00E496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500 – 1 999 km</w:t>
            </w:r>
          </w:p>
        </w:tc>
        <w:tc>
          <w:tcPr>
            <w:tcW w:w="2880" w:type="dxa"/>
          </w:tcPr>
          <w:p w14:paraId="294E2C14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417 €</w:t>
            </w:r>
          </w:p>
        </w:tc>
        <w:tc>
          <w:tcPr>
            <w:tcW w:w="2880" w:type="dxa"/>
          </w:tcPr>
          <w:p w14:paraId="36FDD016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309 €</w:t>
            </w:r>
          </w:p>
        </w:tc>
      </w:tr>
      <w:tr w:rsidR="00D1134C" w14:paraId="6F709044" w14:textId="77777777" w:rsidTr="003B3340">
        <w:tc>
          <w:tcPr>
            <w:tcW w:w="2880" w:type="dxa"/>
          </w:tcPr>
          <w:p w14:paraId="132D1767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2 000 – 2 999 km</w:t>
            </w:r>
          </w:p>
        </w:tc>
        <w:tc>
          <w:tcPr>
            <w:tcW w:w="2880" w:type="dxa"/>
          </w:tcPr>
          <w:p w14:paraId="43E77F8B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535 €</w:t>
            </w:r>
          </w:p>
        </w:tc>
        <w:tc>
          <w:tcPr>
            <w:tcW w:w="2880" w:type="dxa"/>
          </w:tcPr>
          <w:p w14:paraId="2314C905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395 €</w:t>
            </w:r>
          </w:p>
        </w:tc>
      </w:tr>
      <w:tr w:rsidR="00D1134C" w14:paraId="3806BAF0" w14:textId="77777777" w:rsidTr="003B3340">
        <w:tc>
          <w:tcPr>
            <w:tcW w:w="2880" w:type="dxa"/>
          </w:tcPr>
          <w:p w14:paraId="4C5B7D89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3 000 – 3 999 km</w:t>
            </w:r>
          </w:p>
        </w:tc>
        <w:tc>
          <w:tcPr>
            <w:tcW w:w="2880" w:type="dxa"/>
          </w:tcPr>
          <w:p w14:paraId="6CEBBBEC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785 €</w:t>
            </w:r>
          </w:p>
        </w:tc>
        <w:tc>
          <w:tcPr>
            <w:tcW w:w="2880" w:type="dxa"/>
          </w:tcPr>
          <w:p w14:paraId="2A952DB1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580 €</w:t>
            </w:r>
          </w:p>
        </w:tc>
      </w:tr>
      <w:tr w:rsidR="00D1134C" w14:paraId="47E601E4" w14:textId="77777777" w:rsidTr="003B3340">
        <w:tc>
          <w:tcPr>
            <w:tcW w:w="2880" w:type="dxa"/>
          </w:tcPr>
          <w:p w14:paraId="753E68A5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4 000 – 7 999 km</w:t>
            </w:r>
          </w:p>
        </w:tc>
        <w:tc>
          <w:tcPr>
            <w:tcW w:w="2880" w:type="dxa"/>
          </w:tcPr>
          <w:p w14:paraId="76416B83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1 188 €</w:t>
            </w:r>
          </w:p>
        </w:tc>
        <w:tc>
          <w:tcPr>
            <w:tcW w:w="2880" w:type="dxa"/>
          </w:tcPr>
          <w:p w14:paraId="46C67E3F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1 188 €</w:t>
            </w:r>
          </w:p>
        </w:tc>
      </w:tr>
      <w:tr w:rsidR="00D1134C" w14:paraId="27BC39A4" w14:textId="77777777" w:rsidTr="003B3340">
        <w:tc>
          <w:tcPr>
            <w:tcW w:w="2880" w:type="dxa"/>
          </w:tcPr>
          <w:p w14:paraId="5DE35AD9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8 000 km nebo více</w:t>
            </w:r>
          </w:p>
        </w:tc>
        <w:tc>
          <w:tcPr>
            <w:tcW w:w="2880" w:type="dxa"/>
          </w:tcPr>
          <w:p w14:paraId="76211A8F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1 735 €</w:t>
            </w:r>
          </w:p>
        </w:tc>
        <w:tc>
          <w:tcPr>
            <w:tcW w:w="2880" w:type="dxa"/>
          </w:tcPr>
          <w:p w14:paraId="6F04D715" w14:textId="77777777" w:rsidR="00D1134C" w:rsidRPr="00D1134C" w:rsidRDefault="00D1134C" w:rsidP="003B3340">
            <w:pPr>
              <w:rPr>
                <w:rFonts w:asciiTheme="majorHAnsi" w:hAnsiTheme="majorHAnsi"/>
                <w:sz w:val="23"/>
                <w:szCs w:val="23"/>
              </w:rPr>
            </w:pPr>
            <w:r w:rsidRPr="00D1134C">
              <w:rPr>
                <w:rFonts w:asciiTheme="majorHAnsi" w:hAnsiTheme="majorHAnsi"/>
                <w:sz w:val="23"/>
                <w:szCs w:val="23"/>
              </w:rPr>
              <w:t>1 735 €</w:t>
            </w:r>
          </w:p>
        </w:tc>
      </w:tr>
    </w:tbl>
    <w:p w14:paraId="7FD179B0" w14:textId="77777777" w:rsidR="00CF7934" w:rsidRPr="00D943B0" w:rsidRDefault="00CF7934">
      <w:pPr>
        <w:jc w:val="both"/>
        <w:rPr>
          <w:rFonts w:asciiTheme="majorHAnsi" w:eastAsia="Times New Roman" w:hAnsiTheme="majorHAnsi" w:cs="Helvetica"/>
          <w:color w:val="333333"/>
          <w:sz w:val="23"/>
          <w:szCs w:val="23"/>
          <w:lang w:eastAsia="cs-CZ"/>
        </w:rPr>
      </w:pPr>
    </w:p>
    <w:sectPr w:rsidR="00CF7934" w:rsidRPr="00D943B0" w:rsidSect="00453CC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7574" w14:textId="77777777" w:rsidR="007634A1" w:rsidRDefault="007634A1" w:rsidP="00861ACB">
      <w:pPr>
        <w:spacing w:line="240" w:lineRule="auto"/>
      </w:pPr>
      <w:r>
        <w:separator/>
      </w:r>
    </w:p>
  </w:endnote>
  <w:endnote w:type="continuationSeparator" w:id="0">
    <w:p w14:paraId="41DCC460" w14:textId="77777777" w:rsidR="007634A1" w:rsidRDefault="007634A1" w:rsidP="00861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witzerlandCondLight 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5B49" w14:textId="77777777" w:rsidR="003C552F" w:rsidRDefault="003C552F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C18FF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C18FF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8C1CC53" w14:textId="77777777" w:rsidR="003C552F" w:rsidRDefault="003C55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D107" w14:textId="77777777" w:rsidR="007634A1" w:rsidRDefault="007634A1" w:rsidP="00861ACB">
      <w:pPr>
        <w:spacing w:line="240" w:lineRule="auto"/>
      </w:pPr>
      <w:r>
        <w:separator/>
      </w:r>
    </w:p>
  </w:footnote>
  <w:footnote w:type="continuationSeparator" w:id="0">
    <w:p w14:paraId="046EB85F" w14:textId="77777777" w:rsidR="007634A1" w:rsidRDefault="007634A1" w:rsidP="00861ACB">
      <w:pPr>
        <w:spacing w:line="240" w:lineRule="auto"/>
      </w:pPr>
      <w:r>
        <w:continuationSeparator/>
      </w:r>
    </w:p>
  </w:footnote>
  <w:footnote w:id="1">
    <w:p w14:paraId="7CBBD71D" w14:textId="77777777" w:rsidR="003C552F" w:rsidRDefault="003C552F">
      <w:pPr>
        <w:pStyle w:val="Textpoznpodarou"/>
      </w:pPr>
      <w:r>
        <w:rPr>
          <w:rStyle w:val="Znakapoznpodarou"/>
        </w:rPr>
        <w:footnoteRef/>
      </w:r>
      <w:r>
        <w:t xml:space="preserve"> Ve smyslu zákona č. 111/1998 Sb., o vysokých školách, v platném znění</w:t>
      </w:r>
    </w:p>
  </w:footnote>
  <w:footnote w:id="2">
    <w:p w14:paraId="4D38649A" w14:textId="77777777" w:rsidR="003C552F" w:rsidRDefault="003C552F">
      <w:pPr>
        <w:pStyle w:val="Textpoznpodarou"/>
      </w:pPr>
      <w:r>
        <w:rPr>
          <w:rStyle w:val="Znakapoznpodarou"/>
        </w:rPr>
        <w:footnoteRef/>
      </w:r>
      <w:r>
        <w:t xml:space="preserve"> tzv. </w:t>
      </w:r>
      <w:r w:rsidRPr="00155BBF">
        <w:t>Transcript of Records, Datenabschrift, Relevé de notes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7C0"/>
    <w:multiLevelType w:val="multilevel"/>
    <w:tmpl w:val="3B8CB2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3C7CE9"/>
    <w:multiLevelType w:val="hybridMultilevel"/>
    <w:tmpl w:val="7C381080"/>
    <w:lvl w:ilvl="0" w:tplc="C74A172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2470"/>
    <w:multiLevelType w:val="hybridMultilevel"/>
    <w:tmpl w:val="1A14D894"/>
    <w:lvl w:ilvl="0" w:tplc="2A50C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6BDA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9E11D7"/>
    <w:multiLevelType w:val="singleLevel"/>
    <w:tmpl w:val="308250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1139E9"/>
    <w:multiLevelType w:val="multilevel"/>
    <w:tmpl w:val="B1580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B2609"/>
    <w:multiLevelType w:val="hybridMultilevel"/>
    <w:tmpl w:val="81C02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C374F"/>
    <w:multiLevelType w:val="hybridMultilevel"/>
    <w:tmpl w:val="2CD2C12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5EF8"/>
    <w:multiLevelType w:val="hybridMultilevel"/>
    <w:tmpl w:val="81C02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F3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142E4"/>
    <w:multiLevelType w:val="hybridMultilevel"/>
    <w:tmpl w:val="BB24E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90849"/>
    <w:multiLevelType w:val="hybridMultilevel"/>
    <w:tmpl w:val="2A4067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57C0"/>
    <w:multiLevelType w:val="hybridMultilevel"/>
    <w:tmpl w:val="58120CCE"/>
    <w:lvl w:ilvl="0" w:tplc="9B3848F6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9857D3"/>
    <w:multiLevelType w:val="hybridMultilevel"/>
    <w:tmpl w:val="085C2E5A"/>
    <w:lvl w:ilvl="0" w:tplc="0CAC9BFA">
      <w:start w:val="2"/>
      <w:numFmt w:val="bullet"/>
      <w:lvlText w:val="-"/>
      <w:lvlJc w:val="left"/>
      <w:pPr>
        <w:ind w:left="76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2D68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CBC71E7"/>
    <w:multiLevelType w:val="hybridMultilevel"/>
    <w:tmpl w:val="169A5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B14"/>
    <w:multiLevelType w:val="hybridMultilevel"/>
    <w:tmpl w:val="F7A4D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369F5"/>
    <w:multiLevelType w:val="hybridMultilevel"/>
    <w:tmpl w:val="81C02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A41B0"/>
    <w:multiLevelType w:val="hybridMultilevel"/>
    <w:tmpl w:val="1242E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35D"/>
    <w:multiLevelType w:val="hybridMultilevel"/>
    <w:tmpl w:val="9B8CF052"/>
    <w:lvl w:ilvl="0" w:tplc="E466DDD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E0F2C"/>
    <w:multiLevelType w:val="hybridMultilevel"/>
    <w:tmpl w:val="88CEF2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A56F4"/>
    <w:multiLevelType w:val="hybridMultilevel"/>
    <w:tmpl w:val="2C3C44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C21F8"/>
    <w:multiLevelType w:val="multilevel"/>
    <w:tmpl w:val="F4BA3C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6366F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3886036"/>
    <w:multiLevelType w:val="multilevel"/>
    <w:tmpl w:val="9ADA4B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63B5F80"/>
    <w:multiLevelType w:val="hybridMultilevel"/>
    <w:tmpl w:val="E8908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30F75"/>
    <w:multiLevelType w:val="hybridMultilevel"/>
    <w:tmpl w:val="7EA4F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C6E32"/>
    <w:multiLevelType w:val="hybridMultilevel"/>
    <w:tmpl w:val="4822CD44"/>
    <w:lvl w:ilvl="0" w:tplc="5CB6306E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134C86"/>
    <w:multiLevelType w:val="multilevel"/>
    <w:tmpl w:val="F21A59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3F31A60"/>
    <w:multiLevelType w:val="multilevel"/>
    <w:tmpl w:val="2E106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3FD3E10"/>
    <w:multiLevelType w:val="hybridMultilevel"/>
    <w:tmpl w:val="81C02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0340A"/>
    <w:multiLevelType w:val="multilevel"/>
    <w:tmpl w:val="26C255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F584DF3"/>
    <w:multiLevelType w:val="hybridMultilevel"/>
    <w:tmpl w:val="2FC61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D2500"/>
    <w:multiLevelType w:val="hybridMultilevel"/>
    <w:tmpl w:val="81C02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27D7C"/>
    <w:multiLevelType w:val="multilevel"/>
    <w:tmpl w:val="883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87207C"/>
    <w:multiLevelType w:val="multilevel"/>
    <w:tmpl w:val="B99C3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AE7D78"/>
    <w:multiLevelType w:val="multilevel"/>
    <w:tmpl w:val="257AFEE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9337226"/>
    <w:multiLevelType w:val="hybridMultilevel"/>
    <w:tmpl w:val="0CE29344"/>
    <w:lvl w:ilvl="0" w:tplc="1BA294AC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1F6D49"/>
    <w:multiLevelType w:val="hybridMultilevel"/>
    <w:tmpl w:val="922AD262"/>
    <w:lvl w:ilvl="0" w:tplc="26447ED4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77462"/>
    <w:multiLevelType w:val="hybridMultilevel"/>
    <w:tmpl w:val="62D8914E"/>
    <w:lvl w:ilvl="0" w:tplc="8856AC1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62867">
    <w:abstractNumId w:val="26"/>
  </w:num>
  <w:num w:numId="2" w16cid:durableId="1861384645">
    <w:abstractNumId w:val="3"/>
  </w:num>
  <w:num w:numId="3" w16cid:durableId="1649439831">
    <w:abstractNumId w:val="9"/>
  </w:num>
  <w:num w:numId="4" w16cid:durableId="1096175210">
    <w:abstractNumId w:val="23"/>
  </w:num>
  <w:num w:numId="5" w16cid:durableId="350768948">
    <w:abstractNumId w:val="30"/>
  </w:num>
  <w:num w:numId="6" w16cid:durableId="730732515">
    <w:abstractNumId w:val="8"/>
  </w:num>
  <w:num w:numId="7" w16cid:durableId="1493570731">
    <w:abstractNumId w:val="6"/>
  </w:num>
  <w:num w:numId="8" w16cid:durableId="685520958">
    <w:abstractNumId w:val="33"/>
  </w:num>
  <w:num w:numId="9" w16cid:durableId="507596142">
    <w:abstractNumId w:val="17"/>
  </w:num>
  <w:num w:numId="10" w16cid:durableId="675108390">
    <w:abstractNumId w:val="29"/>
  </w:num>
  <w:num w:numId="11" w16cid:durableId="1439062367">
    <w:abstractNumId w:val="5"/>
  </w:num>
  <w:num w:numId="12" w16cid:durableId="990141001">
    <w:abstractNumId w:val="20"/>
  </w:num>
  <w:num w:numId="13" w16cid:durableId="24723255">
    <w:abstractNumId w:val="0"/>
  </w:num>
  <w:num w:numId="14" w16cid:durableId="904528157">
    <w:abstractNumId w:val="22"/>
  </w:num>
  <w:num w:numId="15" w16cid:durableId="1722703249">
    <w:abstractNumId w:val="28"/>
  </w:num>
  <w:num w:numId="16" w16cid:durableId="839808804">
    <w:abstractNumId w:val="24"/>
  </w:num>
  <w:num w:numId="17" w16cid:durableId="382945871">
    <w:abstractNumId w:val="31"/>
  </w:num>
  <w:num w:numId="18" w16cid:durableId="1298728202">
    <w:abstractNumId w:val="35"/>
  </w:num>
  <w:num w:numId="19" w16cid:durableId="697773584">
    <w:abstractNumId w:val="1"/>
  </w:num>
  <w:num w:numId="20" w16cid:durableId="1089692023">
    <w:abstractNumId w:val="36"/>
  </w:num>
  <w:num w:numId="21" w16cid:durableId="1009328524">
    <w:abstractNumId w:val="13"/>
  </w:num>
  <w:num w:numId="22" w16cid:durableId="1178039081">
    <w:abstractNumId w:val="2"/>
  </w:num>
  <w:num w:numId="23" w16cid:durableId="1329678375">
    <w:abstractNumId w:val="25"/>
  </w:num>
  <w:num w:numId="24" w16cid:durableId="14619539">
    <w:abstractNumId w:val="15"/>
  </w:num>
  <w:num w:numId="25" w16cid:durableId="1559703149">
    <w:abstractNumId w:val="4"/>
  </w:num>
  <w:num w:numId="26" w16cid:durableId="783034884">
    <w:abstractNumId w:val="10"/>
  </w:num>
  <w:num w:numId="27" w16cid:durableId="1039206248">
    <w:abstractNumId w:val="38"/>
  </w:num>
  <w:num w:numId="28" w16cid:durableId="620765459">
    <w:abstractNumId w:val="16"/>
  </w:num>
  <w:num w:numId="29" w16cid:durableId="963266295">
    <w:abstractNumId w:val="39"/>
  </w:num>
  <w:num w:numId="30" w16cid:durableId="1681816461">
    <w:abstractNumId w:val="14"/>
  </w:num>
  <w:num w:numId="31" w16cid:durableId="843132471">
    <w:abstractNumId w:val="34"/>
  </w:num>
  <w:num w:numId="32" w16cid:durableId="370888602">
    <w:abstractNumId w:val="19"/>
  </w:num>
  <w:num w:numId="33" w16cid:durableId="569117841">
    <w:abstractNumId w:val="11"/>
  </w:num>
  <w:num w:numId="34" w16cid:durableId="210771141">
    <w:abstractNumId w:val="18"/>
  </w:num>
  <w:num w:numId="35" w16cid:durableId="1848984083">
    <w:abstractNumId w:val="21"/>
  </w:num>
  <w:num w:numId="36" w16cid:durableId="80570638">
    <w:abstractNumId w:val="7"/>
  </w:num>
  <w:num w:numId="37" w16cid:durableId="1153522340">
    <w:abstractNumId w:val="12"/>
  </w:num>
  <w:num w:numId="38" w16cid:durableId="260794885">
    <w:abstractNumId w:val="27"/>
  </w:num>
  <w:num w:numId="39" w16cid:durableId="1355809953">
    <w:abstractNumId w:val="37"/>
  </w:num>
  <w:num w:numId="40" w16cid:durableId="7747880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D"/>
    <w:rsid w:val="00000733"/>
    <w:rsid w:val="000061C7"/>
    <w:rsid w:val="000070F0"/>
    <w:rsid w:val="000264A0"/>
    <w:rsid w:val="00030EDD"/>
    <w:rsid w:val="00031A4B"/>
    <w:rsid w:val="00033D14"/>
    <w:rsid w:val="00046CAC"/>
    <w:rsid w:val="00052CE9"/>
    <w:rsid w:val="0005478C"/>
    <w:rsid w:val="00054C24"/>
    <w:rsid w:val="00057878"/>
    <w:rsid w:val="00062A10"/>
    <w:rsid w:val="00065050"/>
    <w:rsid w:val="00074500"/>
    <w:rsid w:val="000951C8"/>
    <w:rsid w:val="000B20AD"/>
    <w:rsid w:val="000B7746"/>
    <w:rsid w:val="000B7B65"/>
    <w:rsid w:val="000C08FA"/>
    <w:rsid w:val="000C1F67"/>
    <w:rsid w:val="000D4B34"/>
    <w:rsid w:val="000D79A8"/>
    <w:rsid w:val="000E121E"/>
    <w:rsid w:val="000F276E"/>
    <w:rsid w:val="000F6154"/>
    <w:rsid w:val="001007D7"/>
    <w:rsid w:val="00100ED1"/>
    <w:rsid w:val="00113C7F"/>
    <w:rsid w:val="001143F2"/>
    <w:rsid w:val="00122054"/>
    <w:rsid w:val="00122401"/>
    <w:rsid w:val="00127C5E"/>
    <w:rsid w:val="001314BE"/>
    <w:rsid w:val="00142096"/>
    <w:rsid w:val="00155BBF"/>
    <w:rsid w:val="00156825"/>
    <w:rsid w:val="0016041F"/>
    <w:rsid w:val="00165EEB"/>
    <w:rsid w:val="001661F3"/>
    <w:rsid w:val="0018400A"/>
    <w:rsid w:val="00185BB4"/>
    <w:rsid w:val="00191767"/>
    <w:rsid w:val="00194CE7"/>
    <w:rsid w:val="001978B9"/>
    <w:rsid w:val="00197CE8"/>
    <w:rsid w:val="001A05EA"/>
    <w:rsid w:val="001A0B4F"/>
    <w:rsid w:val="001A3BAC"/>
    <w:rsid w:val="001B0BE7"/>
    <w:rsid w:val="001E09E6"/>
    <w:rsid w:val="00204926"/>
    <w:rsid w:val="0020739D"/>
    <w:rsid w:val="00207D6A"/>
    <w:rsid w:val="00215203"/>
    <w:rsid w:val="002232C3"/>
    <w:rsid w:val="00233245"/>
    <w:rsid w:val="00242603"/>
    <w:rsid w:val="002621AF"/>
    <w:rsid w:val="00281A90"/>
    <w:rsid w:val="00295406"/>
    <w:rsid w:val="00297278"/>
    <w:rsid w:val="00297D8D"/>
    <w:rsid w:val="002A60C2"/>
    <w:rsid w:val="002B4E5B"/>
    <w:rsid w:val="002B5DE9"/>
    <w:rsid w:val="002C0385"/>
    <w:rsid w:val="002D37F0"/>
    <w:rsid w:val="002D3F29"/>
    <w:rsid w:val="002D7092"/>
    <w:rsid w:val="0034459F"/>
    <w:rsid w:val="00351BE4"/>
    <w:rsid w:val="003554BA"/>
    <w:rsid w:val="00361388"/>
    <w:rsid w:val="00365165"/>
    <w:rsid w:val="0038316B"/>
    <w:rsid w:val="00385F60"/>
    <w:rsid w:val="003B0261"/>
    <w:rsid w:val="003B4F31"/>
    <w:rsid w:val="003B53AD"/>
    <w:rsid w:val="003B7209"/>
    <w:rsid w:val="003C552F"/>
    <w:rsid w:val="003C7AEB"/>
    <w:rsid w:val="003E3172"/>
    <w:rsid w:val="003E7E4A"/>
    <w:rsid w:val="003F33CA"/>
    <w:rsid w:val="00402723"/>
    <w:rsid w:val="00403AF9"/>
    <w:rsid w:val="00422542"/>
    <w:rsid w:val="00426087"/>
    <w:rsid w:val="00437A02"/>
    <w:rsid w:val="00440B5D"/>
    <w:rsid w:val="004442B3"/>
    <w:rsid w:val="00453CC4"/>
    <w:rsid w:val="00456782"/>
    <w:rsid w:val="00471A19"/>
    <w:rsid w:val="00487F6A"/>
    <w:rsid w:val="004A48CD"/>
    <w:rsid w:val="004B16DD"/>
    <w:rsid w:val="004C1D54"/>
    <w:rsid w:val="004C2E13"/>
    <w:rsid w:val="004C3D94"/>
    <w:rsid w:val="004C4AA2"/>
    <w:rsid w:val="004F0BE9"/>
    <w:rsid w:val="004F4875"/>
    <w:rsid w:val="0050040F"/>
    <w:rsid w:val="00502440"/>
    <w:rsid w:val="00505AE6"/>
    <w:rsid w:val="00507EEB"/>
    <w:rsid w:val="00511A91"/>
    <w:rsid w:val="00525A36"/>
    <w:rsid w:val="00536BAE"/>
    <w:rsid w:val="005412D4"/>
    <w:rsid w:val="00556EB1"/>
    <w:rsid w:val="00557007"/>
    <w:rsid w:val="00564DDC"/>
    <w:rsid w:val="00573736"/>
    <w:rsid w:val="00581B2F"/>
    <w:rsid w:val="005843B2"/>
    <w:rsid w:val="005866B1"/>
    <w:rsid w:val="005902E5"/>
    <w:rsid w:val="00594A1B"/>
    <w:rsid w:val="005A5109"/>
    <w:rsid w:val="005A609C"/>
    <w:rsid w:val="005B5A5C"/>
    <w:rsid w:val="005B62F6"/>
    <w:rsid w:val="005C13D9"/>
    <w:rsid w:val="005C78E4"/>
    <w:rsid w:val="005E560F"/>
    <w:rsid w:val="005F2255"/>
    <w:rsid w:val="0060727B"/>
    <w:rsid w:val="006122AF"/>
    <w:rsid w:val="00625CD2"/>
    <w:rsid w:val="00625CE7"/>
    <w:rsid w:val="00644AB9"/>
    <w:rsid w:val="00644BCC"/>
    <w:rsid w:val="00647C4E"/>
    <w:rsid w:val="00650B68"/>
    <w:rsid w:val="006579AA"/>
    <w:rsid w:val="006750E4"/>
    <w:rsid w:val="00677110"/>
    <w:rsid w:val="006965C2"/>
    <w:rsid w:val="00697461"/>
    <w:rsid w:val="006A406F"/>
    <w:rsid w:val="006C04D5"/>
    <w:rsid w:val="006C05A7"/>
    <w:rsid w:val="006D080F"/>
    <w:rsid w:val="006D5534"/>
    <w:rsid w:val="006D76D2"/>
    <w:rsid w:val="00710884"/>
    <w:rsid w:val="00731F6F"/>
    <w:rsid w:val="00732A8E"/>
    <w:rsid w:val="007419F1"/>
    <w:rsid w:val="0074553C"/>
    <w:rsid w:val="00746670"/>
    <w:rsid w:val="007634A1"/>
    <w:rsid w:val="00777D5B"/>
    <w:rsid w:val="007920A7"/>
    <w:rsid w:val="007A25EC"/>
    <w:rsid w:val="007A3B02"/>
    <w:rsid w:val="007B549E"/>
    <w:rsid w:val="007E4DC6"/>
    <w:rsid w:val="007F06A2"/>
    <w:rsid w:val="007F13FF"/>
    <w:rsid w:val="00804C6B"/>
    <w:rsid w:val="00812164"/>
    <w:rsid w:val="008227DE"/>
    <w:rsid w:val="0083130B"/>
    <w:rsid w:val="00857E56"/>
    <w:rsid w:val="00861ACB"/>
    <w:rsid w:val="00867362"/>
    <w:rsid w:val="00867DC3"/>
    <w:rsid w:val="00875167"/>
    <w:rsid w:val="00880AE0"/>
    <w:rsid w:val="00894BAA"/>
    <w:rsid w:val="0089715C"/>
    <w:rsid w:val="008B7747"/>
    <w:rsid w:val="008C0E42"/>
    <w:rsid w:val="008C1B02"/>
    <w:rsid w:val="008D4AED"/>
    <w:rsid w:val="008D69D4"/>
    <w:rsid w:val="008E7836"/>
    <w:rsid w:val="008F1113"/>
    <w:rsid w:val="008F4169"/>
    <w:rsid w:val="008F430C"/>
    <w:rsid w:val="008F60F5"/>
    <w:rsid w:val="00902CCF"/>
    <w:rsid w:val="00904327"/>
    <w:rsid w:val="00933513"/>
    <w:rsid w:val="00935A5C"/>
    <w:rsid w:val="00954C4F"/>
    <w:rsid w:val="00957F9A"/>
    <w:rsid w:val="00960C4D"/>
    <w:rsid w:val="00971AA2"/>
    <w:rsid w:val="0099358C"/>
    <w:rsid w:val="009A13FF"/>
    <w:rsid w:val="009A1D71"/>
    <w:rsid w:val="009A53AE"/>
    <w:rsid w:val="009B7038"/>
    <w:rsid w:val="009C7A9C"/>
    <w:rsid w:val="009D2668"/>
    <w:rsid w:val="009D3060"/>
    <w:rsid w:val="009D4DD3"/>
    <w:rsid w:val="009E2D09"/>
    <w:rsid w:val="009F07C3"/>
    <w:rsid w:val="009F2DB1"/>
    <w:rsid w:val="009F3404"/>
    <w:rsid w:val="009F35C2"/>
    <w:rsid w:val="00A00E72"/>
    <w:rsid w:val="00A05BD7"/>
    <w:rsid w:val="00A10398"/>
    <w:rsid w:val="00A12A6C"/>
    <w:rsid w:val="00A15F61"/>
    <w:rsid w:val="00A203D3"/>
    <w:rsid w:val="00A44244"/>
    <w:rsid w:val="00A53207"/>
    <w:rsid w:val="00A603DB"/>
    <w:rsid w:val="00A652C6"/>
    <w:rsid w:val="00A736D2"/>
    <w:rsid w:val="00A759B1"/>
    <w:rsid w:val="00A76E8C"/>
    <w:rsid w:val="00A77CDF"/>
    <w:rsid w:val="00A81D51"/>
    <w:rsid w:val="00A96262"/>
    <w:rsid w:val="00AA0551"/>
    <w:rsid w:val="00AA21FD"/>
    <w:rsid w:val="00AA7AE3"/>
    <w:rsid w:val="00AB4621"/>
    <w:rsid w:val="00AB6D4C"/>
    <w:rsid w:val="00AC12F4"/>
    <w:rsid w:val="00AD1CF4"/>
    <w:rsid w:val="00AD5663"/>
    <w:rsid w:val="00AD77F7"/>
    <w:rsid w:val="00AE1DEB"/>
    <w:rsid w:val="00AE5F01"/>
    <w:rsid w:val="00B00DD5"/>
    <w:rsid w:val="00B02B5B"/>
    <w:rsid w:val="00B06895"/>
    <w:rsid w:val="00B213C6"/>
    <w:rsid w:val="00B27C51"/>
    <w:rsid w:val="00B37FBF"/>
    <w:rsid w:val="00B43B60"/>
    <w:rsid w:val="00B459C4"/>
    <w:rsid w:val="00B51A2E"/>
    <w:rsid w:val="00B5777B"/>
    <w:rsid w:val="00B62527"/>
    <w:rsid w:val="00B636A9"/>
    <w:rsid w:val="00B67009"/>
    <w:rsid w:val="00B71C53"/>
    <w:rsid w:val="00B71CE6"/>
    <w:rsid w:val="00B71FAD"/>
    <w:rsid w:val="00B86EAD"/>
    <w:rsid w:val="00B97825"/>
    <w:rsid w:val="00BC2CC9"/>
    <w:rsid w:val="00BC484C"/>
    <w:rsid w:val="00BC4FE4"/>
    <w:rsid w:val="00BD0034"/>
    <w:rsid w:val="00BE0195"/>
    <w:rsid w:val="00BF2E7E"/>
    <w:rsid w:val="00BF486F"/>
    <w:rsid w:val="00C02288"/>
    <w:rsid w:val="00C150ED"/>
    <w:rsid w:val="00C33DEF"/>
    <w:rsid w:val="00C3560E"/>
    <w:rsid w:val="00C472E9"/>
    <w:rsid w:val="00C54B12"/>
    <w:rsid w:val="00C61AAD"/>
    <w:rsid w:val="00C83BD9"/>
    <w:rsid w:val="00C84A6C"/>
    <w:rsid w:val="00CA1EFB"/>
    <w:rsid w:val="00CB189E"/>
    <w:rsid w:val="00CB4B1A"/>
    <w:rsid w:val="00CB4DEF"/>
    <w:rsid w:val="00CC18FF"/>
    <w:rsid w:val="00CC1C28"/>
    <w:rsid w:val="00CC357A"/>
    <w:rsid w:val="00CC7761"/>
    <w:rsid w:val="00CF7934"/>
    <w:rsid w:val="00D03D4D"/>
    <w:rsid w:val="00D03E02"/>
    <w:rsid w:val="00D1058A"/>
    <w:rsid w:val="00D1134C"/>
    <w:rsid w:val="00D17323"/>
    <w:rsid w:val="00D25BDE"/>
    <w:rsid w:val="00D35C73"/>
    <w:rsid w:val="00D406A7"/>
    <w:rsid w:val="00D6011C"/>
    <w:rsid w:val="00D66A08"/>
    <w:rsid w:val="00D81A5C"/>
    <w:rsid w:val="00D943B0"/>
    <w:rsid w:val="00DA4714"/>
    <w:rsid w:val="00DB407A"/>
    <w:rsid w:val="00DD0AF4"/>
    <w:rsid w:val="00DF4E8A"/>
    <w:rsid w:val="00E17B6C"/>
    <w:rsid w:val="00E229EE"/>
    <w:rsid w:val="00E266E0"/>
    <w:rsid w:val="00E267D5"/>
    <w:rsid w:val="00E27CA4"/>
    <w:rsid w:val="00E31525"/>
    <w:rsid w:val="00E349BF"/>
    <w:rsid w:val="00E429A4"/>
    <w:rsid w:val="00E52420"/>
    <w:rsid w:val="00E53F3B"/>
    <w:rsid w:val="00E81AF3"/>
    <w:rsid w:val="00E86DF9"/>
    <w:rsid w:val="00E92854"/>
    <w:rsid w:val="00E94CFE"/>
    <w:rsid w:val="00EA2BE6"/>
    <w:rsid w:val="00EB0688"/>
    <w:rsid w:val="00EC20D9"/>
    <w:rsid w:val="00ED3D73"/>
    <w:rsid w:val="00EE57A6"/>
    <w:rsid w:val="00EF561C"/>
    <w:rsid w:val="00F02653"/>
    <w:rsid w:val="00F25720"/>
    <w:rsid w:val="00F3675D"/>
    <w:rsid w:val="00F51ADD"/>
    <w:rsid w:val="00F52A28"/>
    <w:rsid w:val="00F54821"/>
    <w:rsid w:val="00F63843"/>
    <w:rsid w:val="00F725E2"/>
    <w:rsid w:val="00F7413E"/>
    <w:rsid w:val="00F832AD"/>
    <w:rsid w:val="00F96F28"/>
    <w:rsid w:val="00FA0BD1"/>
    <w:rsid w:val="00FB7B92"/>
    <w:rsid w:val="00FE207D"/>
    <w:rsid w:val="00FE33A9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473A"/>
  <w15:docId w15:val="{330B0F69-FDCD-4EB0-B08E-D3DCE6D9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DC6"/>
    <w:pPr>
      <w:spacing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E01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uiPriority w:val="9"/>
    <w:qFormat/>
    <w:rsid w:val="00E928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1A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1A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A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ACB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7C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7CE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97CE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4A0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349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2CE9"/>
    <w:pPr>
      <w:ind w:left="708"/>
    </w:pPr>
  </w:style>
  <w:style w:type="paragraph" w:styleId="Normlnweb">
    <w:name w:val="Normal (Web)"/>
    <w:basedOn w:val="Normln"/>
    <w:uiPriority w:val="99"/>
    <w:unhideWhenUsed/>
    <w:rsid w:val="00960C4D"/>
    <w:pPr>
      <w:spacing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3B53A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54C24"/>
    <w:pPr>
      <w:tabs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3"/>
        <w:tab w:val="left" w:pos="2268"/>
        <w:tab w:val="left" w:pos="2551"/>
        <w:tab w:val="left" w:pos="2834"/>
        <w:tab w:val="left" w:pos="3117"/>
        <w:tab w:val="left" w:pos="3400"/>
        <w:tab w:val="left" w:pos="3685"/>
        <w:tab w:val="left" w:pos="3968"/>
        <w:tab w:val="left" w:pos="4251"/>
        <w:tab w:val="left" w:pos="4534"/>
        <w:tab w:val="left" w:pos="4818"/>
        <w:tab w:val="left" w:pos="5102"/>
        <w:tab w:val="left" w:pos="5385"/>
        <w:tab w:val="left" w:pos="5668"/>
        <w:tab w:val="left" w:pos="5952"/>
        <w:tab w:val="left" w:pos="6235"/>
        <w:tab w:val="left" w:pos="6519"/>
        <w:tab w:val="left" w:pos="6802"/>
        <w:tab w:val="left" w:pos="7086"/>
        <w:tab w:val="left" w:pos="7369"/>
        <w:tab w:val="left" w:pos="7652"/>
        <w:tab w:val="left" w:pos="7936"/>
        <w:tab w:val="left" w:pos="8220"/>
        <w:tab w:val="left" w:pos="8503"/>
        <w:tab w:val="left" w:pos="8786"/>
        <w:tab w:val="left" w:pos="9069"/>
        <w:tab w:val="left" w:pos="9354"/>
        <w:tab w:val="left" w:pos="9637"/>
        <w:tab w:val="left" w:pos="9920"/>
        <w:tab w:val="left" w:pos="10203"/>
        <w:tab w:val="left" w:pos="10486"/>
        <w:tab w:val="left" w:pos="10771"/>
        <w:tab w:val="left" w:pos="11054"/>
        <w:tab w:val="left" w:pos="11337"/>
      </w:tabs>
      <w:spacing w:line="240" w:lineRule="auto"/>
      <w:ind w:left="283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54C24"/>
    <w:rPr>
      <w:rFonts w:ascii="Arial" w:eastAsia="Times New Roman" w:hAnsi="Arial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E92854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E0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35C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5C7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7A3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D553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D5534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628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EDEDE"/>
                        <w:right w:val="none" w:sz="0" w:space="0" w:color="auto"/>
                      </w:divBdr>
                      <w:divsChild>
                        <w:div w:id="9746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62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95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9384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EDEDE"/>
                        <w:right w:val="none" w:sz="0" w:space="0" w:color="auto"/>
                      </w:divBdr>
                      <w:divsChild>
                        <w:div w:id="8169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898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EDEDE"/>
                        <w:right w:val="none" w:sz="0" w:space="0" w:color="auto"/>
                      </w:divBdr>
                      <w:divsChild>
                        <w:div w:id="15203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rasmus-plus.ec.europa.eu/document/erasmus-programme-guide-2022-version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document/erasmus-programme-guide-2022-version-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E60A-D2EC-4FD7-9211-6EA8ED66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2366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PODMÍNKY PROGRAMU ERASMUS PRO STUDIJNÍ POBYTY</vt:lpstr>
    </vt:vector>
  </TitlesOfParts>
  <Company>Západočeská Univerzita</Company>
  <LinksUpToDate>false</LinksUpToDate>
  <CharactersWithSpaces>16299</CharactersWithSpaces>
  <SharedDoc>false</SharedDoc>
  <HLinks>
    <vt:vector size="12" baseType="variant"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http://erasmus-databaze.naep.cz/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http://erasmus-databaze.naep.cz/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PODMÍNKY PROGRAMU ERASMUS PRO STUDIJNÍ POBYTY</dc:title>
  <dc:creator>Andrea Klapuchová</dc:creator>
  <cp:lastModifiedBy>Eva Kotoučová</cp:lastModifiedBy>
  <cp:revision>2</cp:revision>
  <cp:lastPrinted>2024-02-27T08:38:00Z</cp:lastPrinted>
  <dcterms:created xsi:type="dcterms:W3CDTF">2025-06-27T10:45:00Z</dcterms:created>
  <dcterms:modified xsi:type="dcterms:W3CDTF">2025-06-27T10:45:00Z</dcterms:modified>
</cp:coreProperties>
</file>